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D60CF" w14:textId="767ED5A4" w:rsidR="00F23D04" w:rsidRDefault="00F23D04">
      <w:pPr>
        <w:spacing w:before="0"/>
        <w:jc w:val="left"/>
        <w:rPr>
          <w:b/>
          <w:bCs/>
          <w:i/>
          <w:iCs/>
          <w:sz w:val="19"/>
          <w:szCs w:val="19"/>
        </w:rPr>
      </w:pPr>
      <w:r>
        <w:rPr>
          <w:b/>
          <w:bCs/>
          <w:i/>
          <w:iCs/>
          <w:sz w:val="19"/>
          <w:szCs w:val="19"/>
        </w:rPr>
        <w:t xml:space="preserve">Étape </w:t>
      </w:r>
      <w:proofErr w:type="gramStart"/>
      <w:r>
        <w:rPr>
          <w:b/>
          <w:bCs/>
          <w:i/>
          <w:iCs/>
          <w:sz w:val="19"/>
          <w:szCs w:val="19"/>
        </w:rPr>
        <w:t>1:</w:t>
      </w:r>
      <w:proofErr w:type="gramEnd"/>
      <w:r>
        <w:rPr>
          <w:b/>
          <w:bCs/>
          <w:i/>
          <w:iCs/>
          <w:sz w:val="19"/>
          <w:szCs w:val="19"/>
        </w:rPr>
        <w:t xml:space="preserve"> filtrer les six objectifs environnementaux afin de déterminer ceux qui nécessitent une évaluation de fond </w:t>
      </w:r>
    </w:p>
    <w:p w14:paraId="10B32556" w14:textId="7DE08084" w:rsidR="00F23D04" w:rsidRDefault="00F23D04">
      <w:pPr>
        <w:spacing w:before="0"/>
        <w:jc w:val="left"/>
      </w:pPr>
      <w:r>
        <w:rPr>
          <w:i/>
          <w:iCs/>
          <w:sz w:val="19"/>
          <w:szCs w:val="19"/>
        </w:rPr>
        <w:t>D</w:t>
      </w:r>
      <w:r>
        <w:rPr>
          <w:sz w:val="19"/>
          <w:szCs w:val="19"/>
        </w:rPr>
        <w:t>éterminer, parmi les six objectifs environnementaux, ceux qui nécessitent une évaluation DNSH de fond de la mesure</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6374"/>
        <w:gridCol w:w="588"/>
        <w:gridCol w:w="638"/>
        <w:gridCol w:w="7988"/>
      </w:tblGrid>
      <w:tr w:rsidR="005E4268" w:rsidRPr="005E4268" w14:paraId="16E383A5" w14:textId="77777777" w:rsidTr="005E4268">
        <w:trPr>
          <w:trHeight w:val="170"/>
        </w:trPr>
        <w:tc>
          <w:tcPr>
            <w:tcW w:w="6374" w:type="dxa"/>
            <w:shd w:val="clear" w:color="auto" w:fill="FFFFFF" w:themeFill="background1"/>
            <w:tcMar>
              <w:top w:w="72" w:type="dxa"/>
              <w:left w:w="144" w:type="dxa"/>
              <w:bottom w:w="72" w:type="dxa"/>
              <w:right w:w="144" w:type="dxa"/>
            </w:tcMar>
            <w:hideMark/>
          </w:tcPr>
          <w:p w14:paraId="6E21DDDC" w14:textId="77777777" w:rsidR="00F23D04" w:rsidRPr="005E4268" w:rsidRDefault="00F23D04" w:rsidP="005E4268">
            <w:pPr>
              <w:spacing w:before="0"/>
              <w:jc w:val="left"/>
              <w:rPr>
                <w:rFonts w:cs="Arial"/>
                <w:b/>
                <w:bCs/>
                <w:color w:val="000000"/>
                <w:sz w:val="18"/>
                <w:szCs w:val="18"/>
                <w:lang w:val="fr-FR" w:eastAsia="fr-FR"/>
              </w:rPr>
            </w:pPr>
            <w:r w:rsidRPr="005E4268">
              <w:rPr>
                <w:rFonts w:cs="Arial"/>
                <w:b/>
                <w:bCs/>
                <w:color w:val="000000"/>
                <w:sz w:val="18"/>
                <w:szCs w:val="18"/>
                <w:lang w:val="fr-FR" w:eastAsia="fr-FR"/>
              </w:rPr>
              <w:t>Evaluation détaillée des impacts DNSH</w:t>
            </w:r>
          </w:p>
        </w:tc>
        <w:tc>
          <w:tcPr>
            <w:tcW w:w="588" w:type="dxa"/>
            <w:shd w:val="clear" w:color="auto" w:fill="FFFFFF" w:themeFill="background1"/>
            <w:tcMar>
              <w:top w:w="72" w:type="dxa"/>
              <w:left w:w="144" w:type="dxa"/>
              <w:bottom w:w="72" w:type="dxa"/>
              <w:right w:w="144" w:type="dxa"/>
            </w:tcMar>
            <w:hideMark/>
          </w:tcPr>
          <w:p w14:paraId="24493C1B" w14:textId="77777777" w:rsidR="00F23D04" w:rsidRPr="005E4268" w:rsidRDefault="00F23D04" w:rsidP="005E4268">
            <w:pPr>
              <w:spacing w:before="0"/>
              <w:jc w:val="left"/>
              <w:rPr>
                <w:rFonts w:cs="Arial"/>
                <w:b/>
                <w:bCs/>
                <w:color w:val="000000"/>
                <w:sz w:val="18"/>
                <w:szCs w:val="18"/>
                <w:lang w:val="fr-FR" w:eastAsia="fr-FR"/>
              </w:rPr>
            </w:pPr>
            <w:r w:rsidRPr="005E4268">
              <w:rPr>
                <w:rFonts w:cs="Arial"/>
                <w:b/>
                <w:bCs/>
                <w:color w:val="000000"/>
                <w:sz w:val="18"/>
                <w:szCs w:val="18"/>
                <w:lang w:val="fr-FR" w:eastAsia="fr-FR"/>
              </w:rPr>
              <w:t>Oui</w:t>
            </w:r>
          </w:p>
        </w:tc>
        <w:tc>
          <w:tcPr>
            <w:tcW w:w="638" w:type="dxa"/>
            <w:shd w:val="clear" w:color="auto" w:fill="FFFFFF" w:themeFill="background1"/>
            <w:tcMar>
              <w:top w:w="72" w:type="dxa"/>
              <w:left w:w="144" w:type="dxa"/>
              <w:bottom w:w="72" w:type="dxa"/>
              <w:right w:w="144" w:type="dxa"/>
            </w:tcMar>
            <w:hideMark/>
          </w:tcPr>
          <w:p w14:paraId="2893A2F7" w14:textId="77777777" w:rsidR="00F23D04" w:rsidRPr="005E4268" w:rsidRDefault="00F23D04" w:rsidP="005E4268">
            <w:pPr>
              <w:spacing w:before="0"/>
              <w:jc w:val="left"/>
              <w:rPr>
                <w:rFonts w:cs="Arial"/>
                <w:b/>
                <w:bCs/>
                <w:color w:val="000000"/>
                <w:sz w:val="18"/>
                <w:szCs w:val="18"/>
                <w:lang w:val="fr-FR" w:eastAsia="fr-FR"/>
              </w:rPr>
            </w:pPr>
            <w:r w:rsidRPr="005E4268">
              <w:rPr>
                <w:rFonts w:cs="Arial"/>
                <w:b/>
                <w:bCs/>
                <w:color w:val="000000"/>
                <w:sz w:val="18"/>
                <w:szCs w:val="18"/>
                <w:lang w:val="fr-FR" w:eastAsia="fr-FR"/>
              </w:rPr>
              <w:t>Non</w:t>
            </w:r>
          </w:p>
        </w:tc>
        <w:tc>
          <w:tcPr>
            <w:tcW w:w="7988" w:type="dxa"/>
            <w:shd w:val="clear" w:color="auto" w:fill="FFFFFF" w:themeFill="background1"/>
            <w:tcMar>
              <w:top w:w="72" w:type="dxa"/>
              <w:left w:w="144" w:type="dxa"/>
              <w:bottom w:w="72" w:type="dxa"/>
              <w:right w:w="144" w:type="dxa"/>
            </w:tcMar>
            <w:hideMark/>
          </w:tcPr>
          <w:p w14:paraId="42DF9853" w14:textId="5D3774DB" w:rsidR="00F23D04" w:rsidRPr="005E4268" w:rsidRDefault="00F23D04" w:rsidP="005E4268">
            <w:pPr>
              <w:spacing w:before="0"/>
              <w:jc w:val="left"/>
              <w:rPr>
                <w:rFonts w:cs="Arial"/>
                <w:b/>
                <w:bCs/>
                <w:color w:val="000000"/>
                <w:sz w:val="18"/>
                <w:szCs w:val="18"/>
                <w:lang w:val="fr-FR" w:eastAsia="fr-FR"/>
              </w:rPr>
            </w:pPr>
            <w:r w:rsidRPr="005E4268">
              <w:rPr>
                <w:rFonts w:cs="Arial"/>
                <w:b/>
                <w:bCs/>
                <w:color w:val="000000"/>
                <w:sz w:val="18"/>
                <w:szCs w:val="18"/>
                <w:lang w:val="fr-FR" w:eastAsia="fr-FR"/>
              </w:rPr>
              <w:t>Justification</w:t>
            </w:r>
            <w:r w:rsidRPr="005E4268">
              <w:rPr>
                <w:rFonts w:cs="Arial"/>
                <w:b/>
                <w:bCs/>
                <w:color w:val="000000"/>
                <w:sz w:val="18"/>
                <w:szCs w:val="18"/>
                <w:lang w:val="fr-FR" w:eastAsia="fr-FR"/>
              </w:rPr>
              <w:t xml:space="preserve"> si non</w:t>
            </w:r>
          </w:p>
        </w:tc>
      </w:tr>
      <w:tr w:rsidR="005E4268" w:rsidRPr="0017552D" w14:paraId="32DF9519" w14:textId="77777777" w:rsidTr="005E4268">
        <w:trPr>
          <w:trHeight w:val="20"/>
        </w:trPr>
        <w:tc>
          <w:tcPr>
            <w:tcW w:w="6374" w:type="dxa"/>
            <w:shd w:val="clear" w:color="auto" w:fill="FFFFFF"/>
            <w:tcMar>
              <w:top w:w="72" w:type="dxa"/>
              <w:left w:w="144" w:type="dxa"/>
              <w:bottom w:w="72" w:type="dxa"/>
              <w:right w:w="144" w:type="dxa"/>
            </w:tcMar>
            <w:hideMark/>
          </w:tcPr>
          <w:p w14:paraId="313DFC1A" w14:textId="756ABFE5" w:rsidR="00F23D04" w:rsidRPr="0017552D" w:rsidRDefault="00F23D04" w:rsidP="0017552D">
            <w:pPr>
              <w:spacing w:before="0"/>
              <w:jc w:val="left"/>
              <w:rPr>
                <w:rFonts w:cs="Arial"/>
                <w:sz w:val="18"/>
                <w:szCs w:val="18"/>
                <w:lang w:val="fr-FR" w:eastAsia="fr-FR"/>
              </w:rPr>
            </w:pPr>
            <w:r w:rsidRPr="0017552D">
              <w:rPr>
                <w:rFonts w:cs="Arial"/>
                <w:color w:val="000000"/>
                <w:sz w:val="18"/>
                <w:szCs w:val="18"/>
                <w:lang w:val="fr-FR" w:eastAsia="fr-FR"/>
              </w:rPr>
              <w:t>1.Impact sur le Changement Climatique</w:t>
            </w:r>
          </w:p>
        </w:tc>
        <w:tc>
          <w:tcPr>
            <w:tcW w:w="588" w:type="dxa"/>
            <w:shd w:val="clear" w:color="auto" w:fill="FFFFFF"/>
            <w:tcMar>
              <w:top w:w="72" w:type="dxa"/>
              <w:left w:w="144" w:type="dxa"/>
              <w:bottom w:w="72" w:type="dxa"/>
              <w:right w:w="144" w:type="dxa"/>
            </w:tcMar>
            <w:vAlign w:val="center"/>
            <w:hideMark/>
          </w:tcPr>
          <w:p w14:paraId="31FD3CE6" w14:textId="77777777" w:rsidR="00F23D04" w:rsidRPr="0017552D" w:rsidRDefault="00F23D04" w:rsidP="0017552D">
            <w:pPr>
              <w:spacing w:before="0"/>
              <w:rPr>
                <w:rFonts w:cs="Arial"/>
                <w:sz w:val="18"/>
                <w:szCs w:val="18"/>
                <w:lang w:val="fr-FR" w:eastAsia="fr-FR"/>
              </w:rPr>
            </w:pPr>
          </w:p>
        </w:tc>
        <w:tc>
          <w:tcPr>
            <w:tcW w:w="638" w:type="dxa"/>
            <w:shd w:val="clear" w:color="auto" w:fill="FFFFFF"/>
            <w:tcMar>
              <w:top w:w="72" w:type="dxa"/>
              <w:left w:w="144" w:type="dxa"/>
              <w:bottom w:w="72" w:type="dxa"/>
              <w:right w:w="144" w:type="dxa"/>
            </w:tcMar>
            <w:vAlign w:val="center"/>
          </w:tcPr>
          <w:p w14:paraId="5B161A05" w14:textId="4FD13C82" w:rsidR="00F23D04" w:rsidRPr="0017552D" w:rsidRDefault="00F23D04" w:rsidP="0017552D">
            <w:pPr>
              <w:spacing w:before="0"/>
              <w:jc w:val="center"/>
              <w:rPr>
                <w:rFonts w:cs="Arial"/>
                <w:sz w:val="18"/>
                <w:szCs w:val="18"/>
                <w:lang w:val="fr-FR" w:eastAsia="fr-FR"/>
              </w:rPr>
            </w:pPr>
          </w:p>
        </w:tc>
        <w:tc>
          <w:tcPr>
            <w:tcW w:w="7988" w:type="dxa"/>
            <w:shd w:val="clear" w:color="auto" w:fill="FFFFFF"/>
            <w:tcMar>
              <w:top w:w="72" w:type="dxa"/>
              <w:left w:w="144" w:type="dxa"/>
              <w:bottom w:w="72" w:type="dxa"/>
              <w:right w:w="144" w:type="dxa"/>
            </w:tcMar>
          </w:tcPr>
          <w:p w14:paraId="79F1232E" w14:textId="1A3073A5" w:rsidR="00F23D04" w:rsidRPr="0017552D" w:rsidRDefault="00F23D04" w:rsidP="0017552D">
            <w:pPr>
              <w:spacing w:before="0"/>
              <w:rPr>
                <w:rFonts w:cs="Arial"/>
                <w:sz w:val="18"/>
                <w:szCs w:val="18"/>
                <w:highlight w:val="yellow"/>
                <w:lang w:val="fr-FR" w:eastAsia="fr-FR"/>
              </w:rPr>
            </w:pPr>
          </w:p>
        </w:tc>
      </w:tr>
      <w:tr w:rsidR="005E4268" w:rsidRPr="0017552D" w14:paraId="53915C27" w14:textId="77777777" w:rsidTr="005E4268">
        <w:trPr>
          <w:trHeight w:val="20"/>
        </w:trPr>
        <w:tc>
          <w:tcPr>
            <w:tcW w:w="6374" w:type="dxa"/>
            <w:shd w:val="clear" w:color="auto" w:fill="FFFFFF"/>
            <w:tcMar>
              <w:top w:w="72" w:type="dxa"/>
              <w:left w:w="144" w:type="dxa"/>
              <w:bottom w:w="72" w:type="dxa"/>
              <w:right w:w="144" w:type="dxa"/>
            </w:tcMar>
            <w:hideMark/>
          </w:tcPr>
          <w:p w14:paraId="46679D73" w14:textId="3F67FDBD" w:rsidR="00F23D04" w:rsidRPr="0017552D" w:rsidRDefault="00F23D04" w:rsidP="0017552D">
            <w:pPr>
              <w:spacing w:before="0"/>
              <w:jc w:val="left"/>
              <w:rPr>
                <w:rFonts w:cs="Arial"/>
                <w:sz w:val="18"/>
                <w:szCs w:val="18"/>
                <w:lang w:val="fr-FR" w:eastAsia="fr-FR"/>
              </w:rPr>
            </w:pPr>
            <w:r w:rsidRPr="0017552D">
              <w:rPr>
                <w:rFonts w:cs="Arial"/>
                <w:color w:val="000000"/>
                <w:sz w:val="18"/>
                <w:szCs w:val="18"/>
                <w:lang w:val="fr-FR" w:eastAsia="fr-FR"/>
              </w:rPr>
              <w:t>2.</w:t>
            </w:r>
            <w:r w:rsidR="005E4268">
              <w:rPr>
                <w:rFonts w:cs="Arial"/>
                <w:color w:val="000000"/>
                <w:sz w:val="18"/>
                <w:szCs w:val="18"/>
                <w:lang w:val="fr-FR" w:eastAsia="fr-FR"/>
              </w:rPr>
              <w:t>A</w:t>
            </w:r>
            <w:r w:rsidRPr="0017552D">
              <w:rPr>
                <w:rFonts w:cs="Arial"/>
                <w:color w:val="000000"/>
                <w:sz w:val="18"/>
                <w:szCs w:val="18"/>
                <w:lang w:val="fr-FR" w:eastAsia="fr-FR"/>
              </w:rPr>
              <w:t>daptation au Changement Climatique</w:t>
            </w:r>
          </w:p>
        </w:tc>
        <w:tc>
          <w:tcPr>
            <w:tcW w:w="588" w:type="dxa"/>
            <w:shd w:val="clear" w:color="auto" w:fill="FFFFFF"/>
            <w:tcMar>
              <w:top w:w="72" w:type="dxa"/>
              <w:left w:w="144" w:type="dxa"/>
              <w:bottom w:w="72" w:type="dxa"/>
              <w:right w:w="144" w:type="dxa"/>
            </w:tcMar>
            <w:vAlign w:val="center"/>
            <w:hideMark/>
          </w:tcPr>
          <w:p w14:paraId="1010158E" w14:textId="77777777" w:rsidR="00F23D04" w:rsidRPr="0017552D" w:rsidRDefault="00F23D04" w:rsidP="0017552D">
            <w:pPr>
              <w:spacing w:before="0"/>
              <w:rPr>
                <w:rFonts w:cs="Arial"/>
                <w:sz w:val="18"/>
                <w:szCs w:val="18"/>
                <w:lang w:val="fr-FR" w:eastAsia="fr-FR"/>
              </w:rPr>
            </w:pPr>
          </w:p>
        </w:tc>
        <w:tc>
          <w:tcPr>
            <w:tcW w:w="638" w:type="dxa"/>
            <w:shd w:val="clear" w:color="auto" w:fill="FFFFFF"/>
            <w:tcMar>
              <w:top w:w="72" w:type="dxa"/>
              <w:left w:w="144" w:type="dxa"/>
              <w:bottom w:w="72" w:type="dxa"/>
              <w:right w:w="144" w:type="dxa"/>
            </w:tcMar>
            <w:vAlign w:val="center"/>
          </w:tcPr>
          <w:p w14:paraId="541794B8" w14:textId="2D536014" w:rsidR="00F23D04" w:rsidRPr="0017552D" w:rsidRDefault="00F23D04" w:rsidP="0017552D">
            <w:pPr>
              <w:spacing w:before="0"/>
              <w:jc w:val="center"/>
              <w:rPr>
                <w:rFonts w:cs="Arial"/>
                <w:sz w:val="18"/>
                <w:szCs w:val="18"/>
                <w:lang w:val="fr-FR" w:eastAsia="fr-FR"/>
              </w:rPr>
            </w:pPr>
          </w:p>
        </w:tc>
        <w:tc>
          <w:tcPr>
            <w:tcW w:w="7988" w:type="dxa"/>
            <w:shd w:val="clear" w:color="auto" w:fill="FFFFFF"/>
            <w:tcMar>
              <w:top w:w="72" w:type="dxa"/>
              <w:left w:w="144" w:type="dxa"/>
              <w:bottom w:w="72" w:type="dxa"/>
              <w:right w:w="144" w:type="dxa"/>
            </w:tcMar>
          </w:tcPr>
          <w:p w14:paraId="27B13029" w14:textId="290B3094" w:rsidR="00F23D04" w:rsidRPr="0017552D" w:rsidRDefault="00F23D04" w:rsidP="0017552D">
            <w:pPr>
              <w:spacing w:before="0"/>
              <w:rPr>
                <w:rFonts w:cs="Arial"/>
                <w:sz w:val="18"/>
                <w:szCs w:val="18"/>
                <w:highlight w:val="yellow"/>
                <w:lang w:val="fr-FR" w:eastAsia="fr-FR"/>
              </w:rPr>
            </w:pPr>
          </w:p>
        </w:tc>
      </w:tr>
      <w:tr w:rsidR="005E4268" w:rsidRPr="0017552D" w14:paraId="6508B854" w14:textId="77777777" w:rsidTr="005E4268">
        <w:trPr>
          <w:trHeight w:val="20"/>
        </w:trPr>
        <w:tc>
          <w:tcPr>
            <w:tcW w:w="6374" w:type="dxa"/>
            <w:shd w:val="clear" w:color="auto" w:fill="FFFFFF"/>
            <w:tcMar>
              <w:top w:w="72" w:type="dxa"/>
              <w:left w:w="144" w:type="dxa"/>
              <w:bottom w:w="72" w:type="dxa"/>
              <w:right w:w="144" w:type="dxa"/>
            </w:tcMar>
            <w:hideMark/>
          </w:tcPr>
          <w:p w14:paraId="0A89140C" w14:textId="77777777" w:rsidR="00F23D04" w:rsidRPr="0017552D" w:rsidRDefault="00F23D04" w:rsidP="0017552D">
            <w:pPr>
              <w:spacing w:before="0"/>
              <w:jc w:val="left"/>
              <w:rPr>
                <w:rFonts w:cs="Arial"/>
                <w:sz w:val="18"/>
                <w:szCs w:val="18"/>
                <w:lang w:val="fr-FR" w:eastAsia="fr-FR"/>
              </w:rPr>
            </w:pPr>
            <w:r w:rsidRPr="0017552D">
              <w:rPr>
                <w:rFonts w:cs="Arial"/>
                <w:color w:val="000000"/>
                <w:sz w:val="18"/>
                <w:szCs w:val="18"/>
                <w:lang w:val="fr-FR" w:eastAsia="fr-FR"/>
              </w:rPr>
              <w:t>3.Utilisation et protection des ressources en eau et des ressources marines</w:t>
            </w:r>
          </w:p>
        </w:tc>
        <w:tc>
          <w:tcPr>
            <w:tcW w:w="588" w:type="dxa"/>
            <w:shd w:val="clear" w:color="auto" w:fill="FFFFFF"/>
            <w:tcMar>
              <w:top w:w="72" w:type="dxa"/>
              <w:left w:w="144" w:type="dxa"/>
              <w:bottom w:w="72" w:type="dxa"/>
              <w:right w:w="144" w:type="dxa"/>
            </w:tcMar>
            <w:vAlign w:val="center"/>
            <w:hideMark/>
          </w:tcPr>
          <w:p w14:paraId="47D2B599" w14:textId="77777777" w:rsidR="00F23D04" w:rsidRPr="0017552D" w:rsidRDefault="00F23D04" w:rsidP="0017552D">
            <w:pPr>
              <w:spacing w:before="0"/>
              <w:rPr>
                <w:rFonts w:cs="Arial"/>
                <w:sz w:val="18"/>
                <w:szCs w:val="18"/>
                <w:lang w:val="fr-FR" w:eastAsia="fr-FR"/>
              </w:rPr>
            </w:pPr>
          </w:p>
        </w:tc>
        <w:tc>
          <w:tcPr>
            <w:tcW w:w="638" w:type="dxa"/>
            <w:shd w:val="clear" w:color="auto" w:fill="FFFFFF"/>
            <w:tcMar>
              <w:top w:w="72" w:type="dxa"/>
              <w:left w:w="144" w:type="dxa"/>
              <w:bottom w:w="72" w:type="dxa"/>
              <w:right w:w="144" w:type="dxa"/>
            </w:tcMar>
            <w:vAlign w:val="center"/>
          </w:tcPr>
          <w:p w14:paraId="798D92FC" w14:textId="0CF202E9" w:rsidR="00F23D04" w:rsidRPr="0017552D" w:rsidRDefault="00F23D04" w:rsidP="0017552D">
            <w:pPr>
              <w:spacing w:before="0"/>
              <w:jc w:val="center"/>
              <w:rPr>
                <w:rFonts w:cs="Arial"/>
                <w:sz w:val="18"/>
                <w:szCs w:val="18"/>
                <w:lang w:val="fr-FR" w:eastAsia="fr-FR"/>
              </w:rPr>
            </w:pPr>
          </w:p>
        </w:tc>
        <w:tc>
          <w:tcPr>
            <w:tcW w:w="7988" w:type="dxa"/>
            <w:shd w:val="clear" w:color="auto" w:fill="FFFFFF"/>
            <w:tcMar>
              <w:top w:w="72" w:type="dxa"/>
              <w:left w:w="144" w:type="dxa"/>
              <w:bottom w:w="72" w:type="dxa"/>
              <w:right w:w="144" w:type="dxa"/>
            </w:tcMar>
          </w:tcPr>
          <w:p w14:paraId="474CB6AC" w14:textId="7299AF96" w:rsidR="00F23D04" w:rsidRPr="0017552D" w:rsidRDefault="00F23D04" w:rsidP="0017552D">
            <w:pPr>
              <w:spacing w:before="0"/>
              <w:rPr>
                <w:rFonts w:cs="Arial"/>
                <w:sz w:val="18"/>
                <w:szCs w:val="18"/>
                <w:highlight w:val="yellow"/>
                <w:lang w:val="fr-FR" w:eastAsia="fr-FR"/>
              </w:rPr>
            </w:pPr>
          </w:p>
        </w:tc>
      </w:tr>
      <w:tr w:rsidR="005E4268" w:rsidRPr="0017552D" w14:paraId="21AE3355" w14:textId="77777777" w:rsidTr="005E4268">
        <w:trPr>
          <w:trHeight w:val="20"/>
        </w:trPr>
        <w:tc>
          <w:tcPr>
            <w:tcW w:w="6374" w:type="dxa"/>
            <w:shd w:val="clear" w:color="auto" w:fill="FFFFFF"/>
            <w:tcMar>
              <w:top w:w="72" w:type="dxa"/>
              <w:left w:w="144" w:type="dxa"/>
              <w:bottom w:w="72" w:type="dxa"/>
              <w:right w:w="144" w:type="dxa"/>
            </w:tcMar>
            <w:hideMark/>
          </w:tcPr>
          <w:p w14:paraId="1A94522C" w14:textId="77777777" w:rsidR="00F23D04" w:rsidRPr="0017552D" w:rsidRDefault="00F23D04" w:rsidP="0017552D">
            <w:pPr>
              <w:spacing w:before="0"/>
              <w:jc w:val="left"/>
              <w:rPr>
                <w:rFonts w:cs="Arial"/>
                <w:sz w:val="18"/>
                <w:szCs w:val="18"/>
                <w:lang w:val="fr-FR" w:eastAsia="fr-FR"/>
              </w:rPr>
            </w:pPr>
            <w:r w:rsidRPr="0017552D">
              <w:rPr>
                <w:rFonts w:cs="Arial"/>
                <w:color w:val="000000"/>
                <w:sz w:val="18"/>
                <w:szCs w:val="18"/>
                <w:lang w:val="fr-FR" w:eastAsia="fr-FR"/>
              </w:rPr>
              <w:t>4.Transition vers l’économie circulaire</w:t>
            </w:r>
          </w:p>
        </w:tc>
        <w:tc>
          <w:tcPr>
            <w:tcW w:w="588" w:type="dxa"/>
            <w:shd w:val="clear" w:color="auto" w:fill="FFFFFF"/>
            <w:tcMar>
              <w:top w:w="72" w:type="dxa"/>
              <w:left w:w="144" w:type="dxa"/>
              <w:bottom w:w="72" w:type="dxa"/>
              <w:right w:w="144" w:type="dxa"/>
            </w:tcMar>
            <w:vAlign w:val="center"/>
            <w:hideMark/>
          </w:tcPr>
          <w:p w14:paraId="47212BCA" w14:textId="77777777" w:rsidR="00F23D04" w:rsidRPr="0017552D" w:rsidRDefault="00F23D04" w:rsidP="0017552D">
            <w:pPr>
              <w:spacing w:before="0"/>
              <w:rPr>
                <w:rFonts w:cs="Arial"/>
                <w:sz w:val="18"/>
                <w:szCs w:val="18"/>
                <w:lang w:val="fr-FR" w:eastAsia="fr-FR"/>
              </w:rPr>
            </w:pPr>
          </w:p>
        </w:tc>
        <w:tc>
          <w:tcPr>
            <w:tcW w:w="638" w:type="dxa"/>
            <w:shd w:val="clear" w:color="auto" w:fill="FFFFFF"/>
            <w:tcMar>
              <w:top w:w="72" w:type="dxa"/>
              <w:left w:w="144" w:type="dxa"/>
              <w:bottom w:w="72" w:type="dxa"/>
              <w:right w:w="144" w:type="dxa"/>
            </w:tcMar>
            <w:vAlign w:val="center"/>
          </w:tcPr>
          <w:p w14:paraId="5E99BB00" w14:textId="5E33073F" w:rsidR="00F23D04" w:rsidRPr="0017552D" w:rsidRDefault="00F23D04" w:rsidP="0017552D">
            <w:pPr>
              <w:spacing w:before="0"/>
              <w:jc w:val="center"/>
              <w:rPr>
                <w:rFonts w:cs="Arial"/>
                <w:sz w:val="18"/>
                <w:szCs w:val="18"/>
                <w:lang w:val="fr-FR" w:eastAsia="fr-FR"/>
              </w:rPr>
            </w:pPr>
          </w:p>
        </w:tc>
        <w:tc>
          <w:tcPr>
            <w:tcW w:w="7988" w:type="dxa"/>
            <w:shd w:val="clear" w:color="auto" w:fill="FFFFFF"/>
            <w:tcMar>
              <w:top w:w="72" w:type="dxa"/>
              <w:left w:w="144" w:type="dxa"/>
              <w:bottom w:w="72" w:type="dxa"/>
              <w:right w:w="144" w:type="dxa"/>
            </w:tcMar>
          </w:tcPr>
          <w:p w14:paraId="4AA7C7F1" w14:textId="3B664A09" w:rsidR="00F23D04" w:rsidRPr="0017552D" w:rsidRDefault="00F23D04" w:rsidP="0017552D">
            <w:pPr>
              <w:spacing w:before="0"/>
              <w:rPr>
                <w:rFonts w:cs="Arial"/>
                <w:sz w:val="18"/>
                <w:szCs w:val="18"/>
                <w:highlight w:val="yellow"/>
                <w:lang w:val="fr-FR" w:eastAsia="fr-FR"/>
              </w:rPr>
            </w:pPr>
          </w:p>
        </w:tc>
      </w:tr>
      <w:tr w:rsidR="005E4268" w:rsidRPr="0017552D" w14:paraId="301E538A" w14:textId="77777777" w:rsidTr="005E4268">
        <w:trPr>
          <w:trHeight w:val="20"/>
        </w:trPr>
        <w:tc>
          <w:tcPr>
            <w:tcW w:w="6374" w:type="dxa"/>
            <w:shd w:val="clear" w:color="auto" w:fill="FFFFFF"/>
            <w:tcMar>
              <w:top w:w="72" w:type="dxa"/>
              <w:left w:w="144" w:type="dxa"/>
              <w:bottom w:w="72" w:type="dxa"/>
              <w:right w:w="144" w:type="dxa"/>
            </w:tcMar>
            <w:hideMark/>
          </w:tcPr>
          <w:p w14:paraId="32F401FF" w14:textId="77777777" w:rsidR="00F23D04" w:rsidRPr="0017552D" w:rsidRDefault="00F23D04" w:rsidP="0017552D">
            <w:pPr>
              <w:spacing w:before="0"/>
              <w:jc w:val="left"/>
              <w:rPr>
                <w:rFonts w:cs="Arial"/>
                <w:sz w:val="18"/>
                <w:szCs w:val="18"/>
                <w:lang w:val="fr-FR" w:eastAsia="fr-FR"/>
              </w:rPr>
            </w:pPr>
            <w:r w:rsidRPr="0017552D">
              <w:rPr>
                <w:rFonts w:cs="Arial"/>
                <w:color w:val="000000"/>
                <w:sz w:val="18"/>
                <w:szCs w:val="18"/>
                <w:lang w:val="fr-FR" w:eastAsia="fr-FR"/>
              </w:rPr>
              <w:t>5.Prevention et contrôle de la pollution</w:t>
            </w:r>
          </w:p>
        </w:tc>
        <w:tc>
          <w:tcPr>
            <w:tcW w:w="588" w:type="dxa"/>
            <w:shd w:val="clear" w:color="auto" w:fill="FFFFFF"/>
            <w:tcMar>
              <w:top w:w="72" w:type="dxa"/>
              <w:left w:w="144" w:type="dxa"/>
              <w:bottom w:w="72" w:type="dxa"/>
              <w:right w:w="144" w:type="dxa"/>
            </w:tcMar>
            <w:vAlign w:val="center"/>
            <w:hideMark/>
          </w:tcPr>
          <w:p w14:paraId="55FD5D5D" w14:textId="77777777" w:rsidR="00F23D04" w:rsidRPr="0017552D" w:rsidRDefault="00F23D04" w:rsidP="0017552D">
            <w:pPr>
              <w:spacing w:before="0"/>
              <w:rPr>
                <w:rFonts w:cs="Arial"/>
                <w:sz w:val="18"/>
                <w:szCs w:val="18"/>
                <w:lang w:val="fr-FR" w:eastAsia="fr-FR"/>
              </w:rPr>
            </w:pPr>
          </w:p>
        </w:tc>
        <w:tc>
          <w:tcPr>
            <w:tcW w:w="638" w:type="dxa"/>
            <w:shd w:val="clear" w:color="auto" w:fill="FFFFFF"/>
            <w:tcMar>
              <w:top w:w="72" w:type="dxa"/>
              <w:left w:w="144" w:type="dxa"/>
              <w:bottom w:w="72" w:type="dxa"/>
              <w:right w:w="144" w:type="dxa"/>
            </w:tcMar>
            <w:vAlign w:val="center"/>
          </w:tcPr>
          <w:p w14:paraId="73F3AECB" w14:textId="1D874617" w:rsidR="00F23D04" w:rsidRPr="0017552D" w:rsidRDefault="00F23D04" w:rsidP="0017552D">
            <w:pPr>
              <w:spacing w:before="0"/>
              <w:jc w:val="center"/>
              <w:rPr>
                <w:rFonts w:cs="Arial"/>
                <w:sz w:val="18"/>
                <w:szCs w:val="18"/>
                <w:lang w:val="fr-FR" w:eastAsia="fr-FR"/>
              </w:rPr>
            </w:pPr>
          </w:p>
        </w:tc>
        <w:tc>
          <w:tcPr>
            <w:tcW w:w="7988" w:type="dxa"/>
            <w:shd w:val="clear" w:color="auto" w:fill="FFFFFF"/>
            <w:tcMar>
              <w:top w:w="72" w:type="dxa"/>
              <w:left w:w="144" w:type="dxa"/>
              <w:bottom w:w="72" w:type="dxa"/>
              <w:right w:w="144" w:type="dxa"/>
            </w:tcMar>
          </w:tcPr>
          <w:p w14:paraId="6685A52B" w14:textId="66A9DCC4" w:rsidR="00F23D04" w:rsidRPr="0017552D" w:rsidRDefault="00F23D04" w:rsidP="0017552D">
            <w:pPr>
              <w:spacing w:before="0"/>
              <w:rPr>
                <w:rFonts w:cs="Arial"/>
                <w:sz w:val="18"/>
                <w:szCs w:val="18"/>
                <w:highlight w:val="yellow"/>
                <w:lang w:val="fr-FR" w:eastAsia="fr-FR"/>
              </w:rPr>
            </w:pPr>
          </w:p>
        </w:tc>
      </w:tr>
      <w:tr w:rsidR="005E4268" w:rsidRPr="0017552D" w14:paraId="10EF9968" w14:textId="77777777" w:rsidTr="005E4268">
        <w:trPr>
          <w:trHeight w:val="20"/>
        </w:trPr>
        <w:tc>
          <w:tcPr>
            <w:tcW w:w="6374" w:type="dxa"/>
            <w:shd w:val="clear" w:color="auto" w:fill="FFFFFF"/>
            <w:tcMar>
              <w:top w:w="72" w:type="dxa"/>
              <w:left w:w="144" w:type="dxa"/>
              <w:bottom w:w="72" w:type="dxa"/>
              <w:right w:w="144" w:type="dxa"/>
            </w:tcMar>
            <w:hideMark/>
          </w:tcPr>
          <w:p w14:paraId="1677A4B6" w14:textId="77777777" w:rsidR="00F23D04" w:rsidRPr="0017552D" w:rsidRDefault="00F23D04" w:rsidP="0017552D">
            <w:pPr>
              <w:spacing w:before="0"/>
              <w:jc w:val="left"/>
              <w:rPr>
                <w:rFonts w:cs="Arial"/>
                <w:sz w:val="18"/>
                <w:szCs w:val="18"/>
                <w:lang w:val="fr-FR" w:eastAsia="fr-FR"/>
              </w:rPr>
            </w:pPr>
            <w:r w:rsidRPr="0017552D">
              <w:rPr>
                <w:rFonts w:cs="Arial"/>
                <w:color w:val="000000"/>
                <w:sz w:val="18"/>
                <w:szCs w:val="18"/>
                <w:lang w:val="fr-FR" w:eastAsia="fr-FR"/>
              </w:rPr>
              <w:t>6.Protection et restauration de la biodiversité et des écosystèmes.</w:t>
            </w:r>
          </w:p>
        </w:tc>
        <w:tc>
          <w:tcPr>
            <w:tcW w:w="588" w:type="dxa"/>
            <w:shd w:val="clear" w:color="auto" w:fill="FFFFFF"/>
            <w:tcMar>
              <w:top w:w="72" w:type="dxa"/>
              <w:left w:w="144" w:type="dxa"/>
              <w:bottom w:w="72" w:type="dxa"/>
              <w:right w:w="144" w:type="dxa"/>
            </w:tcMar>
            <w:vAlign w:val="center"/>
            <w:hideMark/>
          </w:tcPr>
          <w:p w14:paraId="06F689DA" w14:textId="77777777" w:rsidR="00F23D04" w:rsidRPr="0017552D" w:rsidRDefault="00F23D04" w:rsidP="0017552D">
            <w:pPr>
              <w:spacing w:before="0"/>
              <w:rPr>
                <w:rFonts w:cs="Arial"/>
                <w:sz w:val="18"/>
                <w:szCs w:val="18"/>
                <w:lang w:val="fr-FR" w:eastAsia="fr-FR"/>
              </w:rPr>
            </w:pPr>
          </w:p>
        </w:tc>
        <w:tc>
          <w:tcPr>
            <w:tcW w:w="638" w:type="dxa"/>
            <w:shd w:val="clear" w:color="auto" w:fill="FFFFFF"/>
            <w:tcMar>
              <w:top w:w="72" w:type="dxa"/>
              <w:left w:w="144" w:type="dxa"/>
              <w:bottom w:w="72" w:type="dxa"/>
              <w:right w:w="144" w:type="dxa"/>
            </w:tcMar>
            <w:vAlign w:val="center"/>
          </w:tcPr>
          <w:p w14:paraId="3B13185C" w14:textId="1CCB2B4C" w:rsidR="00F23D04" w:rsidRPr="0017552D" w:rsidRDefault="00F23D04" w:rsidP="0017552D">
            <w:pPr>
              <w:spacing w:before="0"/>
              <w:jc w:val="center"/>
              <w:rPr>
                <w:rFonts w:cs="Arial"/>
                <w:sz w:val="18"/>
                <w:szCs w:val="18"/>
                <w:lang w:val="fr-FR" w:eastAsia="fr-FR"/>
              </w:rPr>
            </w:pPr>
          </w:p>
        </w:tc>
        <w:tc>
          <w:tcPr>
            <w:tcW w:w="7988" w:type="dxa"/>
            <w:shd w:val="clear" w:color="auto" w:fill="FFFFFF"/>
            <w:tcMar>
              <w:top w:w="72" w:type="dxa"/>
              <w:left w:w="144" w:type="dxa"/>
              <w:bottom w:w="72" w:type="dxa"/>
              <w:right w:w="144" w:type="dxa"/>
            </w:tcMar>
          </w:tcPr>
          <w:p w14:paraId="762BFF57" w14:textId="69988FA2" w:rsidR="00F23D04" w:rsidRPr="0017552D" w:rsidRDefault="00F23D04" w:rsidP="0017552D">
            <w:pPr>
              <w:pStyle w:val="Paragraphedeliste"/>
              <w:numPr>
                <w:ilvl w:val="0"/>
                <w:numId w:val="16"/>
              </w:numPr>
              <w:spacing w:before="0"/>
              <w:ind w:left="403"/>
              <w:jc w:val="left"/>
              <w:rPr>
                <w:rFonts w:cs="Arial"/>
                <w:sz w:val="18"/>
                <w:szCs w:val="18"/>
                <w:lang w:val="fr-FR" w:eastAsia="fr-FR"/>
              </w:rPr>
            </w:pPr>
          </w:p>
        </w:tc>
      </w:tr>
    </w:tbl>
    <w:p w14:paraId="6D02734D" w14:textId="77777777" w:rsidR="0017552D" w:rsidRDefault="0017552D" w:rsidP="00F23D04">
      <w:pPr>
        <w:spacing w:before="0"/>
        <w:jc w:val="left"/>
        <w:rPr>
          <w:b/>
          <w:bCs/>
          <w:i/>
          <w:iCs/>
          <w:sz w:val="19"/>
          <w:szCs w:val="19"/>
        </w:rPr>
      </w:pPr>
    </w:p>
    <w:p w14:paraId="64DDB5F7" w14:textId="33CD7B5D" w:rsidR="00F23D04" w:rsidRPr="00F23D04" w:rsidRDefault="00F23D04" w:rsidP="00F23D04">
      <w:pPr>
        <w:spacing w:before="0"/>
        <w:jc w:val="left"/>
        <w:rPr>
          <w:b/>
          <w:bCs/>
          <w:i/>
          <w:iCs/>
          <w:sz w:val="19"/>
          <w:szCs w:val="19"/>
        </w:rPr>
      </w:pPr>
      <w:r w:rsidRPr="00F23D04">
        <w:rPr>
          <w:b/>
          <w:bCs/>
          <w:i/>
          <w:iCs/>
          <w:sz w:val="19"/>
          <w:szCs w:val="19"/>
        </w:rPr>
        <w:t xml:space="preserve">Étape </w:t>
      </w:r>
      <w:proofErr w:type="gramStart"/>
      <w:r w:rsidRPr="00F23D04">
        <w:rPr>
          <w:b/>
          <w:bCs/>
          <w:i/>
          <w:iCs/>
          <w:sz w:val="19"/>
          <w:szCs w:val="19"/>
        </w:rPr>
        <w:t>2:</w:t>
      </w:r>
      <w:proofErr w:type="gramEnd"/>
      <w:r w:rsidRPr="00F23D04">
        <w:rPr>
          <w:b/>
          <w:bCs/>
          <w:i/>
          <w:iCs/>
          <w:sz w:val="19"/>
          <w:szCs w:val="19"/>
        </w:rPr>
        <w:t xml:space="preserve"> fournir une évaluation DNSH de fond pour les objectifs environnementaux qui l’exigent </w:t>
      </w:r>
    </w:p>
    <w:p w14:paraId="06783351" w14:textId="73E8C46A" w:rsidR="00F23D04" w:rsidRDefault="005E4268">
      <w:r>
        <w:t>Procéder à u</w:t>
      </w:r>
      <w:r w:rsidR="00F23D04" w:rsidRPr="00F23D04">
        <w:t>ne évaluation DNSH de fond pour les objectifs environnementaux pour lesquels il a été répondu</w:t>
      </w:r>
      <w:proofErr w:type="gramStart"/>
      <w:r w:rsidR="00F23D04" w:rsidRPr="00F23D04">
        <w:t xml:space="preserve"> «oui</w:t>
      </w:r>
      <w:proofErr w:type="gramEnd"/>
      <w:r w:rsidR="00F23D04" w:rsidRPr="00F23D04">
        <w:t>» à l’étape 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6941"/>
        <w:gridCol w:w="709"/>
        <w:gridCol w:w="7938"/>
      </w:tblGrid>
      <w:tr w:rsidR="005E4268" w:rsidRPr="005E4268" w14:paraId="3156D84A" w14:textId="77777777" w:rsidTr="005E4268">
        <w:trPr>
          <w:trHeight w:val="20"/>
        </w:trPr>
        <w:tc>
          <w:tcPr>
            <w:tcW w:w="6941" w:type="dxa"/>
            <w:shd w:val="clear" w:color="auto" w:fill="FFFFFF"/>
            <w:tcMar>
              <w:top w:w="72" w:type="dxa"/>
              <w:left w:w="144" w:type="dxa"/>
              <w:bottom w:w="72" w:type="dxa"/>
              <w:right w:w="144" w:type="dxa"/>
            </w:tcMar>
          </w:tcPr>
          <w:p w14:paraId="7D7BA527" w14:textId="0AC67F24" w:rsidR="0017552D" w:rsidRPr="005E4268" w:rsidRDefault="0017552D" w:rsidP="0017552D">
            <w:pPr>
              <w:spacing w:before="0"/>
              <w:jc w:val="left"/>
              <w:rPr>
                <w:rFonts w:cs="Arial"/>
                <w:b/>
                <w:bCs/>
                <w:color w:val="000000"/>
                <w:sz w:val="18"/>
                <w:szCs w:val="18"/>
                <w:lang w:val="fr-FR" w:eastAsia="fr-FR"/>
              </w:rPr>
            </w:pPr>
            <w:r w:rsidRPr="005E4268">
              <w:rPr>
                <w:rFonts w:cs="Arial"/>
                <w:b/>
                <w:bCs/>
                <w:color w:val="000000"/>
                <w:sz w:val="18"/>
                <w:szCs w:val="18"/>
                <w:lang w:val="fr-FR" w:eastAsia="fr-FR"/>
              </w:rPr>
              <w:t>Question</w:t>
            </w:r>
          </w:p>
        </w:tc>
        <w:tc>
          <w:tcPr>
            <w:tcW w:w="709" w:type="dxa"/>
            <w:shd w:val="clear" w:color="auto" w:fill="FFFFFF"/>
            <w:tcMar>
              <w:top w:w="72" w:type="dxa"/>
              <w:left w:w="144" w:type="dxa"/>
              <w:bottom w:w="72" w:type="dxa"/>
              <w:right w:w="144" w:type="dxa"/>
            </w:tcMar>
          </w:tcPr>
          <w:p w14:paraId="0B7BC1F5" w14:textId="06D90684" w:rsidR="0017552D" w:rsidRPr="005E4268" w:rsidRDefault="0017552D" w:rsidP="0017552D">
            <w:pPr>
              <w:spacing w:before="0"/>
              <w:jc w:val="left"/>
              <w:rPr>
                <w:rFonts w:cs="Arial"/>
                <w:b/>
                <w:bCs/>
                <w:color w:val="000000"/>
                <w:sz w:val="18"/>
                <w:szCs w:val="18"/>
                <w:lang w:val="fr-FR" w:eastAsia="fr-FR"/>
              </w:rPr>
            </w:pPr>
            <w:r w:rsidRPr="005E4268">
              <w:rPr>
                <w:rFonts w:cs="Arial"/>
                <w:b/>
                <w:bCs/>
                <w:color w:val="000000"/>
                <w:sz w:val="18"/>
                <w:szCs w:val="18"/>
                <w:lang w:val="fr-FR" w:eastAsia="fr-FR"/>
              </w:rPr>
              <w:t>Non</w:t>
            </w:r>
          </w:p>
        </w:tc>
        <w:tc>
          <w:tcPr>
            <w:tcW w:w="7938" w:type="dxa"/>
            <w:shd w:val="clear" w:color="auto" w:fill="FFFFFF"/>
            <w:tcMar>
              <w:top w:w="72" w:type="dxa"/>
              <w:left w:w="144" w:type="dxa"/>
              <w:bottom w:w="72" w:type="dxa"/>
              <w:right w:w="144" w:type="dxa"/>
            </w:tcMar>
          </w:tcPr>
          <w:p w14:paraId="25CC7FFD" w14:textId="7779BAA6" w:rsidR="0017552D" w:rsidRPr="005E4268" w:rsidRDefault="0017552D" w:rsidP="0017552D">
            <w:pPr>
              <w:spacing w:before="0"/>
              <w:jc w:val="left"/>
              <w:rPr>
                <w:rFonts w:cs="Arial"/>
                <w:b/>
                <w:bCs/>
                <w:color w:val="000000"/>
                <w:sz w:val="18"/>
                <w:szCs w:val="18"/>
                <w:lang w:val="fr-FR" w:eastAsia="fr-FR"/>
              </w:rPr>
            </w:pPr>
            <w:r w:rsidRPr="005E4268">
              <w:rPr>
                <w:rFonts w:cs="Arial"/>
                <w:b/>
                <w:bCs/>
                <w:color w:val="000000"/>
                <w:sz w:val="18"/>
                <w:szCs w:val="18"/>
                <w:lang w:val="fr-FR" w:eastAsia="fr-FR"/>
              </w:rPr>
              <w:t>Justification de fond</w:t>
            </w:r>
          </w:p>
        </w:tc>
      </w:tr>
      <w:tr w:rsidR="005E4268" w:rsidRPr="0017552D" w14:paraId="390B6D98" w14:textId="77777777" w:rsidTr="005E4268">
        <w:trPr>
          <w:trHeight w:val="20"/>
        </w:trPr>
        <w:tc>
          <w:tcPr>
            <w:tcW w:w="6941" w:type="dxa"/>
            <w:shd w:val="clear" w:color="auto" w:fill="FFFFFF"/>
            <w:tcMar>
              <w:top w:w="72" w:type="dxa"/>
              <w:left w:w="144" w:type="dxa"/>
              <w:bottom w:w="72" w:type="dxa"/>
              <w:right w:w="144" w:type="dxa"/>
            </w:tcMar>
          </w:tcPr>
          <w:p w14:paraId="31327C66" w14:textId="13C43943" w:rsidR="00F23D04" w:rsidRPr="0017552D" w:rsidRDefault="0017552D" w:rsidP="0017552D">
            <w:pPr>
              <w:spacing w:before="0"/>
              <w:jc w:val="left"/>
              <w:rPr>
                <w:rFonts w:cs="Arial"/>
                <w:color w:val="000000"/>
                <w:sz w:val="18"/>
                <w:szCs w:val="18"/>
                <w:lang w:val="fr-FR" w:eastAsia="fr-FR"/>
              </w:rPr>
            </w:pPr>
            <w:r w:rsidRPr="0017552D">
              <w:rPr>
                <w:rFonts w:cs="Arial"/>
                <w:color w:val="000000"/>
                <w:sz w:val="18"/>
                <w:szCs w:val="18"/>
                <w:lang w:val="fr-FR" w:eastAsia="fr-FR"/>
              </w:rPr>
              <w:t xml:space="preserve">Atténuation du changement </w:t>
            </w:r>
            <w:proofErr w:type="gramStart"/>
            <w:r w:rsidRPr="0017552D">
              <w:rPr>
                <w:rFonts w:cs="Arial"/>
                <w:color w:val="000000"/>
                <w:sz w:val="18"/>
                <w:szCs w:val="18"/>
                <w:lang w:val="fr-FR" w:eastAsia="fr-FR"/>
              </w:rPr>
              <w:t>climatique:</w:t>
            </w:r>
            <w:proofErr w:type="gramEnd"/>
            <w:r w:rsidRPr="0017552D">
              <w:rPr>
                <w:rFonts w:cs="Arial"/>
                <w:color w:val="000000"/>
                <w:sz w:val="18"/>
                <w:szCs w:val="18"/>
                <w:lang w:val="fr-FR" w:eastAsia="fr-FR"/>
              </w:rPr>
              <w:t xml:space="preserve"> la mesure risque-t-elle d’engendrer d’importantes émissions de gaz à effet de serre?</w:t>
            </w:r>
          </w:p>
        </w:tc>
        <w:tc>
          <w:tcPr>
            <w:tcW w:w="709" w:type="dxa"/>
            <w:shd w:val="clear" w:color="auto" w:fill="FFFFFF"/>
            <w:tcMar>
              <w:top w:w="72" w:type="dxa"/>
              <w:left w:w="144" w:type="dxa"/>
              <w:bottom w:w="72" w:type="dxa"/>
              <w:right w:w="144" w:type="dxa"/>
            </w:tcMar>
            <w:vAlign w:val="center"/>
          </w:tcPr>
          <w:p w14:paraId="0810C1FE" w14:textId="77777777" w:rsidR="00F23D04" w:rsidRPr="0017552D" w:rsidRDefault="00F23D04" w:rsidP="0017552D">
            <w:pPr>
              <w:spacing w:before="0"/>
              <w:jc w:val="left"/>
              <w:rPr>
                <w:rFonts w:cs="Arial"/>
                <w:color w:val="000000"/>
                <w:sz w:val="18"/>
                <w:szCs w:val="18"/>
                <w:lang w:val="fr-FR" w:eastAsia="fr-FR"/>
              </w:rPr>
            </w:pPr>
          </w:p>
        </w:tc>
        <w:tc>
          <w:tcPr>
            <w:tcW w:w="7938" w:type="dxa"/>
            <w:shd w:val="clear" w:color="auto" w:fill="FFFFFF"/>
            <w:tcMar>
              <w:top w:w="72" w:type="dxa"/>
              <w:left w:w="144" w:type="dxa"/>
              <w:bottom w:w="72" w:type="dxa"/>
              <w:right w:w="144" w:type="dxa"/>
            </w:tcMar>
          </w:tcPr>
          <w:p w14:paraId="05EEE673" w14:textId="77777777" w:rsidR="00F23D04" w:rsidRPr="0017552D" w:rsidRDefault="00F23D04" w:rsidP="0017552D">
            <w:pPr>
              <w:spacing w:before="0"/>
              <w:jc w:val="left"/>
              <w:rPr>
                <w:rFonts w:cs="Arial"/>
                <w:color w:val="000000"/>
                <w:sz w:val="18"/>
                <w:szCs w:val="18"/>
                <w:lang w:val="fr-FR" w:eastAsia="fr-FR"/>
              </w:rPr>
            </w:pPr>
          </w:p>
        </w:tc>
      </w:tr>
      <w:tr w:rsidR="0017552D" w:rsidRPr="0017552D" w14:paraId="4C45FDDF" w14:textId="77777777" w:rsidTr="005E4268">
        <w:trPr>
          <w:trHeight w:val="20"/>
        </w:trPr>
        <w:tc>
          <w:tcPr>
            <w:tcW w:w="6941" w:type="dxa"/>
            <w:shd w:val="clear" w:color="auto" w:fill="FFFFFF"/>
            <w:tcMar>
              <w:top w:w="72" w:type="dxa"/>
              <w:left w:w="144" w:type="dxa"/>
              <w:bottom w:w="72" w:type="dxa"/>
              <w:right w:w="144" w:type="dxa"/>
            </w:tcMar>
          </w:tcPr>
          <w:p w14:paraId="1D9387BA" w14:textId="2D9C95AB" w:rsidR="0017552D" w:rsidRPr="0017552D" w:rsidRDefault="0017552D" w:rsidP="0017552D">
            <w:pPr>
              <w:spacing w:before="0"/>
              <w:jc w:val="left"/>
              <w:rPr>
                <w:rFonts w:cs="Arial"/>
                <w:color w:val="000000"/>
                <w:sz w:val="18"/>
                <w:szCs w:val="18"/>
                <w:lang w:val="fr-FR" w:eastAsia="fr-FR"/>
              </w:rPr>
            </w:pPr>
            <w:r w:rsidRPr="0017552D">
              <w:rPr>
                <w:rFonts w:cs="Arial"/>
                <w:color w:val="000000"/>
                <w:sz w:val="18"/>
                <w:szCs w:val="18"/>
                <w:lang w:val="fr-FR" w:eastAsia="fr-FR"/>
              </w:rPr>
              <w:t xml:space="preserve">Adaptation au changement </w:t>
            </w:r>
            <w:proofErr w:type="gramStart"/>
            <w:r w:rsidRPr="0017552D">
              <w:rPr>
                <w:rFonts w:cs="Arial"/>
                <w:color w:val="000000"/>
                <w:sz w:val="18"/>
                <w:szCs w:val="18"/>
                <w:lang w:val="fr-FR" w:eastAsia="fr-FR"/>
              </w:rPr>
              <w:t>climatique:</w:t>
            </w:r>
            <w:proofErr w:type="gramEnd"/>
            <w:r w:rsidRPr="0017552D">
              <w:rPr>
                <w:rFonts w:cs="Arial"/>
                <w:color w:val="000000"/>
                <w:sz w:val="18"/>
                <w:szCs w:val="18"/>
                <w:lang w:val="fr-FR" w:eastAsia="fr-FR"/>
              </w:rPr>
              <w:t xml:space="preserve"> la mesure risque-t-elle d’entraîner une augmentation des incidences négatives du climat actuel et de son évolution attendue sur elle-même ou sur la population, la nature ou les biens?</w:t>
            </w:r>
          </w:p>
        </w:tc>
        <w:tc>
          <w:tcPr>
            <w:tcW w:w="709" w:type="dxa"/>
            <w:shd w:val="clear" w:color="auto" w:fill="FFFFFF"/>
            <w:tcMar>
              <w:top w:w="72" w:type="dxa"/>
              <w:left w:w="144" w:type="dxa"/>
              <w:bottom w:w="72" w:type="dxa"/>
              <w:right w:w="144" w:type="dxa"/>
            </w:tcMar>
            <w:vAlign w:val="center"/>
          </w:tcPr>
          <w:p w14:paraId="3FCABB1E" w14:textId="77777777" w:rsidR="0017552D" w:rsidRPr="0017552D" w:rsidRDefault="0017552D" w:rsidP="0017552D">
            <w:pPr>
              <w:spacing w:before="0"/>
              <w:jc w:val="left"/>
              <w:rPr>
                <w:rFonts w:cs="Arial"/>
                <w:color w:val="000000"/>
                <w:sz w:val="18"/>
                <w:szCs w:val="18"/>
                <w:lang w:val="fr-FR" w:eastAsia="fr-FR"/>
              </w:rPr>
            </w:pPr>
          </w:p>
        </w:tc>
        <w:tc>
          <w:tcPr>
            <w:tcW w:w="7938" w:type="dxa"/>
            <w:shd w:val="clear" w:color="auto" w:fill="FFFFFF"/>
            <w:tcMar>
              <w:top w:w="72" w:type="dxa"/>
              <w:left w:w="144" w:type="dxa"/>
              <w:bottom w:w="72" w:type="dxa"/>
              <w:right w:w="144" w:type="dxa"/>
            </w:tcMar>
          </w:tcPr>
          <w:p w14:paraId="5F7951DA" w14:textId="77777777" w:rsidR="0017552D" w:rsidRPr="0017552D" w:rsidRDefault="0017552D" w:rsidP="0017552D">
            <w:pPr>
              <w:spacing w:before="0"/>
              <w:jc w:val="left"/>
              <w:rPr>
                <w:rFonts w:cs="Arial"/>
                <w:color w:val="000000"/>
                <w:sz w:val="18"/>
                <w:szCs w:val="18"/>
                <w:lang w:val="fr-FR" w:eastAsia="fr-FR"/>
              </w:rPr>
            </w:pPr>
          </w:p>
        </w:tc>
      </w:tr>
      <w:tr w:rsidR="0017552D" w:rsidRPr="0017552D" w14:paraId="62A2FE3B" w14:textId="77777777" w:rsidTr="005E4268">
        <w:trPr>
          <w:trHeight w:val="20"/>
        </w:trPr>
        <w:tc>
          <w:tcPr>
            <w:tcW w:w="6941" w:type="dxa"/>
            <w:shd w:val="clear" w:color="auto" w:fill="FFFFFF"/>
            <w:tcMar>
              <w:top w:w="72" w:type="dxa"/>
              <w:left w:w="144" w:type="dxa"/>
              <w:bottom w:w="72" w:type="dxa"/>
              <w:right w:w="144" w:type="dxa"/>
            </w:tcMar>
          </w:tcPr>
          <w:p w14:paraId="20C38260" w14:textId="741CE5D5" w:rsidR="0017552D" w:rsidRPr="0017552D" w:rsidRDefault="0017552D" w:rsidP="0017552D">
            <w:pPr>
              <w:spacing w:before="0"/>
              <w:jc w:val="left"/>
              <w:rPr>
                <w:rFonts w:cs="Arial"/>
                <w:color w:val="000000"/>
                <w:sz w:val="18"/>
                <w:szCs w:val="18"/>
                <w:lang w:val="fr-FR" w:eastAsia="fr-FR"/>
              </w:rPr>
            </w:pPr>
            <w:r>
              <w:rPr>
                <w:i/>
                <w:iCs/>
                <w:sz w:val="19"/>
                <w:szCs w:val="19"/>
              </w:rPr>
              <w:t xml:space="preserve">Utilisation durable et protection des ressources aquatiques et </w:t>
            </w:r>
            <w:proofErr w:type="gramStart"/>
            <w:r>
              <w:rPr>
                <w:i/>
                <w:iCs/>
                <w:sz w:val="19"/>
                <w:szCs w:val="19"/>
              </w:rPr>
              <w:t>marines</w:t>
            </w:r>
            <w:r>
              <w:rPr>
                <w:sz w:val="19"/>
                <w:szCs w:val="19"/>
              </w:rPr>
              <w:t>:</w:t>
            </w:r>
            <w:proofErr w:type="gramEnd"/>
            <w:r>
              <w:rPr>
                <w:sz w:val="19"/>
                <w:szCs w:val="19"/>
              </w:rPr>
              <w:t xml:space="preserve"> la mesure risque-t-elle d’être préjudiciable: i) au bon état ou au bon potentiel écologique des masses d’eau, y compris les eaux de surface et les eaux souterraines; ou ii) au bon état écologique des eaux marines?</w:t>
            </w:r>
          </w:p>
        </w:tc>
        <w:tc>
          <w:tcPr>
            <w:tcW w:w="709" w:type="dxa"/>
            <w:shd w:val="clear" w:color="auto" w:fill="FFFFFF"/>
            <w:tcMar>
              <w:top w:w="72" w:type="dxa"/>
              <w:left w:w="144" w:type="dxa"/>
              <w:bottom w:w="72" w:type="dxa"/>
              <w:right w:w="144" w:type="dxa"/>
            </w:tcMar>
            <w:vAlign w:val="center"/>
          </w:tcPr>
          <w:p w14:paraId="076D5AD8" w14:textId="77777777" w:rsidR="0017552D" w:rsidRPr="0017552D" w:rsidRDefault="0017552D" w:rsidP="0017552D">
            <w:pPr>
              <w:spacing w:before="0"/>
              <w:jc w:val="left"/>
              <w:rPr>
                <w:rFonts w:cs="Arial"/>
                <w:color w:val="000000"/>
                <w:sz w:val="18"/>
                <w:szCs w:val="18"/>
                <w:lang w:val="fr-FR" w:eastAsia="fr-FR"/>
              </w:rPr>
            </w:pPr>
          </w:p>
        </w:tc>
        <w:tc>
          <w:tcPr>
            <w:tcW w:w="7938" w:type="dxa"/>
            <w:shd w:val="clear" w:color="auto" w:fill="FFFFFF"/>
            <w:tcMar>
              <w:top w:w="72" w:type="dxa"/>
              <w:left w:w="144" w:type="dxa"/>
              <w:bottom w:w="72" w:type="dxa"/>
              <w:right w:w="144" w:type="dxa"/>
            </w:tcMar>
          </w:tcPr>
          <w:p w14:paraId="0942CC44" w14:textId="77777777" w:rsidR="0017552D" w:rsidRPr="0017552D" w:rsidRDefault="0017552D" w:rsidP="0017552D">
            <w:pPr>
              <w:spacing w:before="0"/>
              <w:jc w:val="left"/>
              <w:rPr>
                <w:rFonts w:cs="Arial"/>
                <w:color w:val="000000"/>
                <w:sz w:val="18"/>
                <w:szCs w:val="18"/>
                <w:lang w:val="fr-FR" w:eastAsia="fr-FR"/>
              </w:rPr>
            </w:pPr>
          </w:p>
        </w:tc>
      </w:tr>
      <w:tr w:rsidR="0017552D" w:rsidRPr="0017552D" w14:paraId="5671817C" w14:textId="77777777" w:rsidTr="005E4268">
        <w:trPr>
          <w:trHeight w:val="20"/>
        </w:trPr>
        <w:tc>
          <w:tcPr>
            <w:tcW w:w="6941" w:type="dxa"/>
            <w:shd w:val="clear" w:color="auto" w:fill="FFFFFF"/>
            <w:tcMar>
              <w:top w:w="72" w:type="dxa"/>
              <w:left w:w="144" w:type="dxa"/>
              <w:bottom w:w="72" w:type="dxa"/>
              <w:right w:w="144" w:type="dxa"/>
            </w:tcMar>
          </w:tcPr>
          <w:p w14:paraId="1111DD22" w14:textId="04ECF1D7" w:rsidR="0017552D" w:rsidRDefault="0017552D" w:rsidP="0017552D">
            <w:pPr>
              <w:spacing w:before="0"/>
              <w:jc w:val="left"/>
              <w:rPr>
                <w:i/>
                <w:iCs/>
                <w:sz w:val="19"/>
                <w:szCs w:val="19"/>
              </w:rPr>
            </w:pPr>
            <w:r>
              <w:rPr>
                <w:i/>
                <w:iCs/>
                <w:sz w:val="19"/>
                <w:szCs w:val="19"/>
              </w:rPr>
              <w:t>Transition vers une économie circulaire, y compris la prévention des déchets et le recyclage</w:t>
            </w:r>
            <w:r>
              <w:rPr>
                <w:sz w:val="19"/>
                <w:szCs w:val="19"/>
              </w:rPr>
              <w:t xml:space="preserve">: la mesure risque-t- elle: i)d’entraîner une augmentation notable de la production, de l’incinération ou de l’élimination de déchets, à l’exception de l’incinération de déchets dangereux non recyclables; ou </w:t>
            </w:r>
            <w:proofErr w:type="spellStart"/>
            <w:r>
              <w:rPr>
                <w:sz w:val="18"/>
                <w:szCs w:val="18"/>
              </w:rPr>
              <w:t>FR</w:t>
            </w:r>
            <w:r>
              <w:rPr>
                <w:sz w:val="19"/>
                <w:szCs w:val="19"/>
              </w:rPr>
              <w:t>Journal</w:t>
            </w:r>
            <w:proofErr w:type="spellEnd"/>
            <w:r>
              <w:rPr>
                <w:sz w:val="19"/>
                <w:szCs w:val="19"/>
              </w:rPr>
              <w:t xml:space="preserve"> officiel de l’Union européenne C 58/10 18.2.2021 ii) d’entraîner des inefficacités significatives dans l’utilisation directe ou indirecte d’une ressource naturelle(</w:t>
            </w:r>
            <w:r>
              <w:rPr>
                <w:rStyle w:val="Appelnotedebasdep"/>
                <w:sz w:val="19"/>
                <w:szCs w:val="19"/>
              </w:rPr>
              <w:footnoteReference w:id="1"/>
            </w:r>
            <w:r>
              <w:rPr>
                <w:sz w:val="19"/>
                <w:szCs w:val="19"/>
              </w:rPr>
              <w:t xml:space="preserve">) à n’importe quelle étape de son cycle de vie, qui ne sont pas réduites au </w:t>
            </w:r>
            <w:r>
              <w:rPr>
                <w:sz w:val="19"/>
                <w:szCs w:val="19"/>
              </w:rPr>
              <w:lastRenderedPageBreak/>
              <w:t>minimum par des mesures adéquates(</w:t>
            </w:r>
            <w:r>
              <w:rPr>
                <w:rStyle w:val="Appelnotedebasdep"/>
                <w:sz w:val="19"/>
                <w:szCs w:val="19"/>
              </w:rPr>
              <w:footnoteReference w:id="2"/>
            </w:r>
            <w:r>
              <w:rPr>
                <w:sz w:val="19"/>
                <w:szCs w:val="19"/>
              </w:rPr>
              <w:t>); ou iii) de causer un préjudice important et durable à l’environnement au regard de l’économie circulaire(</w:t>
            </w:r>
            <w:r>
              <w:rPr>
                <w:rStyle w:val="Appelnotedebasdep"/>
                <w:sz w:val="19"/>
                <w:szCs w:val="19"/>
              </w:rPr>
              <w:footnoteReference w:id="3"/>
            </w:r>
            <w:r>
              <w:rPr>
                <w:sz w:val="19"/>
                <w:szCs w:val="19"/>
              </w:rPr>
              <w:t>)?</w:t>
            </w:r>
          </w:p>
        </w:tc>
        <w:tc>
          <w:tcPr>
            <w:tcW w:w="709" w:type="dxa"/>
            <w:shd w:val="clear" w:color="auto" w:fill="FFFFFF"/>
            <w:tcMar>
              <w:top w:w="72" w:type="dxa"/>
              <w:left w:w="144" w:type="dxa"/>
              <w:bottom w:w="72" w:type="dxa"/>
              <w:right w:w="144" w:type="dxa"/>
            </w:tcMar>
            <w:vAlign w:val="center"/>
          </w:tcPr>
          <w:p w14:paraId="755D1CFE" w14:textId="77777777" w:rsidR="0017552D" w:rsidRPr="0017552D" w:rsidRDefault="0017552D" w:rsidP="0017552D">
            <w:pPr>
              <w:spacing w:before="0"/>
              <w:jc w:val="left"/>
              <w:rPr>
                <w:rFonts w:cs="Arial"/>
                <w:color w:val="000000"/>
                <w:sz w:val="18"/>
                <w:szCs w:val="18"/>
                <w:lang w:val="fr-FR" w:eastAsia="fr-FR"/>
              </w:rPr>
            </w:pPr>
          </w:p>
        </w:tc>
        <w:tc>
          <w:tcPr>
            <w:tcW w:w="7938" w:type="dxa"/>
            <w:shd w:val="clear" w:color="auto" w:fill="FFFFFF"/>
            <w:tcMar>
              <w:top w:w="72" w:type="dxa"/>
              <w:left w:w="144" w:type="dxa"/>
              <w:bottom w:w="72" w:type="dxa"/>
              <w:right w:w="144" w:type="dxa"/>
            </w:tcMar>
          </w:tcPr>
          <w:p w14:paraId="102E2C98" w14:textId="77777777" w:rsidR="0017552D" w:rsidRPr="0017552D" w:rsidRDefault="0017552D" w:rsidP="0017552D">
            <w:pPr>
              <w:spacing w:before="0"/>
              <w:jc w:val="left"/>
              <w:rPr>
                <w:rFonts w:cs="Arial"/>
                <w:color w:val="000000"/>
                <w:sz w:val="18"/>
                <w:szCs w:val="18"/>
                <w:lang w:val="fr-FR" w:eastAsia="fr-FR"/>
              </w:rPr>
            </w:pPr>
          </w:p>
        </w:tc>
      </w:tr>
      <w:tr w:rsidR="0017552D" w:rsidRPr="0017552D" w14:paraId="13775494" w14:textId="77777777" w:rsidTr="005E4268">
        <w:trPr>
          <w:trHeight w:val="20"/>
        </w:trPr>
        <w:tc>
          <w:tcPr>
            <w:tcW w:w="6941" w:type="dxa"/>
            <w:shd w:val="clear" w:color="auto" w:fill="FFFFFF"/>
            <w:tcMar>
              <w:top w:w="72" w:type="dxa"/>
              <w:left w:w="144" w:type="dxa"/>
              <w:bottom w:w="72" w:type="dxa"/>
              <w:right w:w="144" w:type="dxa"/>
            </w:tcMar>
          </w:tcPr>
          <w:p w14:paraId="6A3CB109" w14:textId="1AD86CC5" w:rsidR="0017552D" w:rsidRDefault="0017552D" w:rsidP="0017552D">
            <w:pPr>
              <w:spacing w:before="0"/>
              <w:jc w:val="left"/>
              <w:rPr>
                <w:i/>
                <w:iCs/>
                <w:sz w:val="19"/>
                <w:szCs w:val="19"/>
              </w:rPr>
            </w:pPr>
            <w:r>
              <w:rPr>
                <w:i/>
                <w:iCs/>
                <w:sz w:val="19"/>
                <w:szCs w:val="19"/>
              </w:rPr>
              <w:t xml:space="preserve">Prévention et réduction de la </w:t>
            </w:r>
            <w:proofErr w:type="gramStart"/>
            <w:r>
              <w:rPr>
                <w:i/>
                <w:iCs/>
                <w:sz w:val="19"/>
                <w:szCs w:val="19"/>
              </w:rPr>
              <w:t>pollution</w:t>
            </w:r>
            <w:r>
              <w:rPr>
                <w:sz w:val="19"/>
                <w:szCs w:val="19"/>
              </w:rPr>
              <w:t>:</w:t>
            </w:r>
            <w:proofErr w:type="gramEnd"/>
            <w:r>
              <w:rPr>
                <w:sz w:val="19"/>
                <w:szCs w:val="19"/>
              </w:rPr>
              <w:t xml:space="preserve"> la mesure risque- t-elle d’engendrer une augmentation notable des émissions de polluants(</w:t>
            </w:r>
            <w:r>
              <w:rPr>
                <w:rStyle w:val="Appelnotedebasdep"/>
                <w:sz w:val="19"/>
                <w:szCs w:val="19"/>
              </w:rPr>
              <w:footnoteReference w:id="4"/>
            </w:r>
            <w:r>
              <w:rPr>
                <w:sz w:val="19"/>
                <w:szCs w:val="19"/>
              </w:rPr>
              <w:t>) dans l’air, l’eau ou le sol?</w:t>
            </w:r>
          </w:p>
        </w:tc>
        <w:tc>
          <w:tcPr>
            <w:tcW w:w="709" w:type="dxa"/>
            <w:shd w:val="clear" w:color="auto" w:fill="FFFFFF"/>
            <w:tcMar>
              <w:top w:w="72" w:type="dxa"/>
              <w:left w:w="144" w:type="dxa"/>
              <w:bottom w:w="72" w:type="dxa"/>
              <w:right w:w="144" w:type="dxa"/>
            </w:tcMar>
            <w:vAlign w:val="center"/>
          </w:tcPr>
          <w:p w14:paraId="35609E75" w14:textId="77777777" w:rsidR="0017552D" w:rsidRPr="0017552D" w:rsidRDefault="0017552D" w:rsidP="0017552D">
            <w:pPr>
              <w:spacing w:before="0"/>
              <w:jc w:val="left"/>
              <w:rPr>
                <w:rFonts w:cs="Arial"/>
                <w:color w:val="000000"/>
                <w:sz w:val="18"/>
                <w:szCs w:val="18"/>
                <w:lang w:val="fr-FR" w:eastAsia="fr-FR"/>
              </w:rPr>
            </w:pPr>
          </w:p>
        </w:tc>
        <w:tc>
          <w:tcPr>
            <w:tcW w:w="7938" w:type="dxa"/>
            <w:shd w:val="clear" w:color="auto" w:fill="FFFFFF"/>
            <w:tcMar>
              <w:top w:w="72" w:type="dxa"/>
              <w:left w:w="144" w:type="dxa"/>
              <w:bottom w:w="72" w:type="dxa"/>
              <w:right w:w="144" w:type="dxa"/>
            </w:tcMar>
          </w:tcPr>
          <w:p w14:paraId="56ABAF77" w14:textId="77777777" w:rsidR="0017552D" w:rsidRPr="0017552D" w:rsidRDefault="0017552D" w:rsidP="0017552D">
            <w:pPr>
              <w:spacing w:before="0"/>
              <w:jc w:val="left"/>
              <w:rPr>
                <w:rFonts w:cs="Arial"/>
                <w:color w:val="000000"/>
                <w:sz w:val="18"/>
                <w:szCs w:val="18"/>
                <w:lang w:val="fr-FR" w:eastAsia="fr-FR"/>
              </w:rPr>
            </w:pPr>
          </w:p>
        </w:tc>
      </w:tr>
      <w:tr w:rsidR="0017552D" w:rsidRPr="0017552D" w14:paraId="6BAE6270" w14:textId="77777777" w:rsidTr="005E4268">
        <w:trPr>
          <w:trHeight w:val="20"/>
        </w:trPr>
        <w:tc>
          <w:tcPr>
            <w:tcW w:w="6941" w:type="dxa"/>
            <w:shd w:val="clear" w:color="auto" w:fill="FFFFFF"/>
            <w:tcMar>
              <w:top w:w="72" w:type="dxa"/>
              <w:left w:w="144" w:type="dxa"/>
              <w:bottom w:w="72" w:type="dxa"/>
              <w:right w:w="144" w:type="dxa"/>
            </w:tcMar>
          </w:tcPr>
          <w:p w14:paraId="22BCB1F6" w14:textId="6DEAF973" w:rsidR="0017552D" w:rsidRDefault="0017552D" w:rsidP="0017552D">
            <w:pPr>
              <w:spacing w:before="0"/>
              <w:jc w:val="left"/>
              <w:rPr>
                <w:i/>
                <w:iCs/>
                <w:sz w:val="19"/>
                <w:szCs w:val="19"/>
              </w:rPr>
            </w:pPr>
            <w:r>
              <w:rPr>
                <w:i/>
                <w:iCs/>
                <w:sz w:val="19"/>
                <w:szCs w:val="19"/>
              </w:rPr>
              <w:t xml:space="preserve">Protection et restauration de la biodiversité et des </w:t>
            </w:r>
            <w:proofErr w:type="gramStart"/>
            <w:r>
              <w:rPr>
                <w:i/>
                <w:iCs/>
                <w:sz w:val="19"/>
                <w:szCs w:val="19"/>
              </w:rPr>
              <w:t>écosystèmes</w:t>
            </w:r>
            <w:r>
              <w:rPr>
                <w:sz w:val="19"/>
                <w:szCs w:val="19"/>
              </w:rPr>
              <w:t>:</w:t>
            </w:r>
            <w:proofErr w:type="gramEnd"/>
            <w:r>
              <w:rPr>
                <w:sz w:val="19"/>
                <w:szCs w:val="19"/>
              </w:rPr>
              <w:t xml:space="preserve"> la mesure risque-t-elle d’être: i)fortement préjudiciable au bon état(</w:t>
            </w:r>
            <w:r>
              <w:rPr>
                <w:rStyle w:val="Appelnotedebasdep"/>
                <w:sz w:val="19"/>
                <w:szCs w:val="19"/>
              </w:rPr>
              <w:footnoteReference w:id="5"/>
            </w:r>
            <w:r>
              <w:rPr>
                <w:sz w:val="19"/>
                <w:szCs w:val="19"/>
              </w:rPr>
              <w:t>) et à la résilience d’écosystèmes; ou ii) préjudiciable à l’état de conservation des habitats et des espèces, y compris ceux qui présentent un intérêt pour l’Union?</w:t>
            </w:r>
          </w:p>
        </w:tc>
        <w:tc>
          <w:tcPr>
            <w:tcW w:w="709" w:type="dxa"/>
            <w:shd w:val="clear" w:color="auto" w:fill="FFFFFF"/>
            <w:tcMar>
              <w:top w:w="72" w:type="dxa"/>
              <w:left w:w="144" w:type="dxa"/>
              <w:bottom w:w="72" w:type="dxa"/>
              <w:right w:w="144" w:type="dxa"/>
            </w:tcMar>
            <w:vAlign w:val="center"/>
          </w:tcPr>
          <w:p w14:paraId="3C03E2DE" w14:textId="77777777" w:rsidR="0017552D" w:rsidRPr="0017552D" w:rsidRDefault="0017552D" w:rsidP="0017552D">
            <w:pPr>
              <w:spacing w:before="0"/>
              <w:jc w:val="left"/>
              <w:rPr>
                <w:rFonts w:cs="Arial"/>
                <w:color w:val="000000"/>
                <w:sz w:val="18"/>
                <w:szCs w:val="18"/>
                <w:lang w:val="fr-FR" w:eastAsia="fr-FR"/>
              </w:rPr>
            </w:pPr>
          </w:p>
        </w:tc>
        <w:tc>
          <w:tcPr>
            <w:tcW w:w="7938" w:type="dxa"/>
            <w:shd w:val="clear" w:color="auto" w:fill="FFFFFF"/>
            <w:tcMar>
              <w:top w:w="72" w:type="dxa"/>
              <w:left w:w="144" w:type="dxa"/>
              <w:bottom w:w="72" w:type="dxa"/>
              <w:right w:w="144" w:type="dxa"/>
            </w:tcMar>
          </w:tcPr>
          <w:p w14:paraId="7C23277A" w14:textId="77777777" w:rsidR="0017552D" w:rsidRPr="0017552D" w:rsidRDefault="0017552D" w:rsidP="0017552D">
            <w:pPr>
              <w:spacing w:before="0"/>
              <w:jc w:val="left"/>
              <w:rPr>
                <w:rFonts w:cs="Arial"/>
                <w:color w:val="000000"/>
                <w:sz w:val="18"/>
                <w:szCs w:val="18"/>
                <w:lang w:val="fr-FR" w:eastAsia="fr-FR"/>
              </w:rPr>
            </w:pPr>
          </w:p>
        </w:tc>
      </w:tr>
    </w:tbl>
    <w:p w14:paraId="34BEC089" w14:textId="77777777" w:rsidR="00F23D04" w:rsidRPr="00D95CF0" w:rsidRDefault="00F23D04" w:rsidP="00F23D04">
      <w:pPr>
        <w:pStyle w:val="TableFootnote"/>
        <w:rPr>
          <w:lang w:val="fr-BE"/>
        </w:rPr>
      </w:pPr>
    </w:p>
    <w:p w14:paraId="724DD4A8" w14:textId="77777777" w:rsidR="00F23D04" w:rsidRDefault="00F23D04">
      <w:pPr>
        <w:spacing w:before="0"/>
        <w:jc w:val="left"/>
        <w:rPr>
          <w:b/>
          <w:smallCaps/>
          <w:kern w:val="28"/>
        </w:rPr>
      </w:pPr>
    </w:p>
    <w:p w14:paraId="273F0706" w14:textId="77777777" w:rsidR="00E1595D" w:rsidRDefault="00E1595D" w:rsidP="00E1595D">
      <w:pPr>
        <w:spacing w:before="0"/>
        <w:jc w:val="left"/>
        <w:rPr>
          <w:b/>
          <w:bCs/>
          <w:i/>
          <w:iCs/>
          <w:sz w:val="19"/>
          <w:szCs w:val="19"/>
        </w:rPr>
      </w:pPr>
      <w:r>
        <w:rPr>
          <w:b/>
          <w:bCs/>
          <w:i/>
          <w:iCs/>
          <w:sz w:val="19"/>
          <w:szCs w:val="19"/>
        </w:rPr>
        <w:t>Documents de référence</w:t>
      </w:r>
    </w:p>
    <w:p w14:paraId="37FD2E2C" w14:textId="77777777" w:rsidR="00E1595D" w:rsidRDefault="00E1595D" w:rsidP="00E1595D">
      <w:pPr>
        <w:pStyle w:val="Paragraphedeliste"/>
        <w:numPr>
          <w:ilvl w:val="0"/>
          <w:numId w:val="17"/>
        </w:numPr>
        <w:spacing w:before="0"/>
        <w:jc w:val="left"/>
        <w:rPr>
          <w:i/>
          <w:iCs/>
          <w:sz w:val="19"/>
          <w:szCs w:val="19"/>
        </w:rPr>
      </w:pPr>
      <w:r>
        <w:rPr>
          <w:i/>
          <w:iCs/>
          <w:sz w:val="19"/>
          <w:szCs w:val="19"/>
        </w:rPr>
        <w:t xml:space="preserve">Règlement sur la taxinomie : </w:t>
      </w:r>
      <w:r w:rsidRPr="005E4268">
        <w:rPr>
          <w:i/>
          <w:iCs/>
          <w:sz w:val="19"/>
          <w:szCs w:val="19"/>
        </w:rPr>
        <w:t>Article 17 du RÈGLEMENT (UE) 2020/852 DU PARLEMENT EUROPÉEN ET DU CONSEIL du 18 juin 2020 sur l’établissement d’un cadre visant à favoriser les investissements durables et modifiant le règlement (UE) 2019/2088</w:t>
      </w:r>
      <w:r>
        <w:rPr>
          <w:rStyle w:val="Appelnotedebasdep"/>
          <w:i/>
          <w:iCs/>
          <w:sz w:val="19"/>
          <w:szCs w:val="19"/>
        </w:rPr>
        <w:footnoteReference w:id="6"/>
      </w:r>
    </w:p>
    <w:p w14:paraId="06E12248" w14:textId="77777777" w:rsidR="00E1595D" w:rsidRPr="005E4268" w:rsidRDefault="00E1595D" w:rsidP="00E1595D">
      <w:pPr>
        <w:pStyle w:val="Paragraphedeliste"/>
        <w:numPr>
          <w:ilvl w:val="0"/>
          <w:numId w:val="17"/>
        </w:numPr>
        <w:spacing w:before="0"/>
        <w:jc w:val="left"/>
        <w:rPr>
          <w:i/>
          <w:iCs/>
          <w:sz w:val="19"/>
          <w:szCs w:val="19"/>
        </w:rPr>
      </w:pPr>
      <w:r w:rsidRPr="00E1595D">
        <w:rPr>
          <w:i/>
          <w:iCs/>
          <w:sz w:val="19"/>
          <w:szCs w:val="19"/>
        </w:rPr>
        <w:t>Orientations techniques sur l’application du principe consistant</w:t>
      </w:r>
      <w:proofErr w:type="gramStart"/>
      <w:r w:rsidRPr="00E1595D">
        <w:rPr>
          <w:i/>
          <w:iCs/>
          <w:sz w:val="19"/>
          <w:szCs w:val="19"/>
        </w:rPr>
        <w:t xml:space="preserve"> «à</w:t>
      </w:r>
      <w:proofErr w:type="gramEnd"/>
      <w:r w:rsidRPr="00E1595D">
        <w:rPr>
          <w:i/>
          <w:iCs/>
          <w:sz w:val="19"/>
          <w:szCs w:val="19"/>
        </w:rPr>
        <w:t xml:space="preserve"> ne pas causer de préjudice important» au titre du règlement établissant une facilité pour la reprise et la résilience (2021/C 58/01)</w:t>
      </w:r>
      <w:r>
        <w:rPr>
          <w:rStyle w:val="Appelnotedebasdep"/>
          <w:i/>
          <w:iCs/>
          <w:sz w:val="19"/>
          <w:szCs w:val="19"/>
        </w:rPr>
        <w:footnoteReference w:id="7"/>
      </w:r>
    </w:p>
    <w:p w14:paraId="40C18335" w14:textId="43C41C1B" w:rsidR="001A5146" w:rsidRDefault="001A5146">
      <w:pPr>
        <w:spacing w:before="0"/>
        <w:jc w:val="left"/>
        <w:rPr>
          <w:b/>
          <w:smallCaps/>
          <w:kern w:val="28"/>
        </w:rPr>
      </w:pPr>
    </w:p>
    <w:sectPr w:rsidR="001A5146" w:rsidSect="005E4268">
      <w:headerReference w:type="default" r:id="rId8"/>
      <w:footerReference w:type="default" r:id="rId9"/>
      <w:headerReference w:type="first" r:id="rId10"/>
      <w:footerReference w:type="first" r:id="rId11"/>
      <w:pgSz w:w="16840" w:h="11900" w:orient="landscape"/>
      <w:pgMar w:top="720" w:right="720" w:bottom="720" w:left="720" w:header="720" w:footer="45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8E174" w14:textId="77777777" w:rsidR="00422300" w:rsidRDefault="00422300">
      <w:pPr>
        <w:spacing w:before="0"/>
      </w:pPr>
      <w:r>
        <w:separator/>
      </w:r>
    </w:p>
  </w:endnote>
  <w:endnote w:type="continuationSeparator" w:id="0">
    <w:p w14:paraId="5FDDBEE4" w14:textId="77777777" w:rsidR="00422300" w:rsidRDefault="0042230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rebuchetM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D9F3E" w14:textId="77777777" w:rsidR="00A32D0E" w:rsidRPr="0034347F" w:rsidRDefault="00A32D0E" w:rsidP="00A32D0E">
    <w:pPr>
      <w:pBdr>
        <w:top w:val="single" w:sz="4" w:space="1" w:color="auto"/>
      </w:pBdr>
      <w:tabs>
        <w:tab w:val="left" w:pos="851"/>
        <w:tab w:val="left" w:pos="3969"/>
        <w:tab w:val="left" w:pos="4536"/>
        <w:tab w:val="left" w:pos="7371"/>
        <w:tab w:val="left" w:pos="8222"/>
      </w:tabs>
      <w:ind w:right="57"/>
      <w:jc w:val="right"/>
      <w:rPr>
        <w:sz w:val="18"/>
        <w:szCs w:val="18"/>
      </w:rPr>
    </w:pPr>
    <w:r w:rsidRPr="0034347F">
      <w:rPr>
        <w:snapToGrid w:val="0"/>
        <w:sz w:val="18"/>
        <w:szCs w:val="18"/>
        <w:lang w:eastAsia="fr-FR"/>
      </w:rPr>
      <w:t xml:space="preserve">Département </w:t>
    </w:r>
    <w:r w:rsidR="0034347F" w:rsidRPr="0034347F">
      <w:rPr>
        <w:snapToGrid w:val="0"/>
        <w:sz w:val="18"/>
        <w:szCs w:val="18"/>
        <w:lang w:eastAsia="fr-FR"/>
      </w:rPr>
      <w:t xml:space="preserve">de la Recherche et </w:t>
    </w:r>
    <w:r w:rsidRPr="0034347F">
      <w:rPr>
        <w:snapToGrid w:val="0"/>
        <w:sz w:val="18"/>
        <w:szCs w:val="18"/>
        <w:lang w:eastAsia="fr-FR"/>
      </w:rPr>
      <w:t xml:space="preserve">du Développement </w:t>
    </w:r>
    <w:proofErr w:type="gramStart"/>
    <w:r w:rsidRPr="0034347F">
      <w:rPr>
        <w:snapToGrid w:val="0"/>
        <w:sz w:val="18"/>
        <w:szCs w:val="18"/>
        <w:lang w:eastAsia="fr-FR"/>
      </w:rPr>
      <w:t>technologique  -</w:t>
    </w:r>
    <w:proofErr w:type="gramEnd"/>
    <w:r w:rsidRPr="0034347F">
      <w:rPr>
        <w:snapToGrid w:val="0"/>
        <w:sz w:val="18"/>
        <w:szCs w:val="18"/>
        <w:lang w:eastAsia="fr-FR"/>
      </w:rPr>
      <w:t xml:space="preserve"> Direction</w:t>
    </w:r>
    <w:r w:rsidR="0040346B" w:rsidRPr="0034347F">
      <w:rPr>
        <w:snapToGrid w:val="0"/>
        <w:sz w:val="18"/>
        <w:szCs w:val="18"/>
        <w:lang w:eastAsia="fr-FR"/>
      </w:rPr>
      <w:t xml:space="preserve"> des</w:t>
    </w:r>
    <w:r w:rsidRPr="0034347F">
      <w:rPr>
        <w:snapToGrid w:val="0"/>
        <w:sz w:val="18"/>
        <w:szCs w:val="18"/>
        <w:lang w:eastAsia="fr-FR"/>
      </w:rPr>
      <w:t xml:space="preserve"> Projets de Recherche</w:t>
    </w:r>
    <w:r w:rsidRPr="0034347F">
      <w:rPr>
        <w:snapToGrid w:val="0"/>
        <w:sz w:val="18"/>
        <w:szCs w:val="18"/>
        <w:lang w:eastAsia="en-US"/>
      </w:rPr>
      <w:t xml:space="preserve"> </w:t>
    </w:r>
  </w:p>
  <w:p w14:paraId="25B2EC9C" w14:textId="77777777" w:rsidR="00A32D0E" w:rsidRPr="0034347F" w:rsidRDefault="00A32D0E">
    <w:pPr>
      <w:pStyle w:val="Pieddepage"/>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539" w:type="dxa"/>
      <w:tblLayout w:type="fixed"/>
      <w:tblCellMar>
        <w:left w:w="70" w:type="dxa"/>
        <w:right w:w="70" w:type="dxa"/>
      </w:tblCellMar>
      <w:tblLook w:val="00A0" w:firstRow="1" w:lastRow="0" w:firstColumn="1" w:lastColumn="0" w:noHBand="0" w:noVBand="0"/>
    </w:tblPr>
    <w:tblGrid>
      <w:gridCol w:w="1086"/>
      <w:gridCol w:w="9601"/>
    </w:tblGrid>
    <w:tr w:rsidR="007846AF" w14:paraId="18CCDB4B" w14:textId="77777777" w:rsidTr="00BF1E07">
      <w:trPr>
        <w:trHeight w:val="567"/>
      </w:trPr>
      <w:tc>
        <w:tcPr>
          <w:tcW w:w="1086" w:type="dxa"/>
          <w:tcBorders>
            <w:right w:val="single" w:sz="4" w:space="0" w:color="auto"/>
          </w:tcBorders>
        </w:tcPr>
        <w:p w14:paraId="260E9F09" w14:textId="77777777" w:rsidR="007846AF" w:rsidRDefault="007846AF" w:rsidP="00BF1E07">
          <w:pPr>
            <w:pStyle w:val="Normale"/>
            <w:rPr>
              <w:rStyle w:val="Normale1"/>
              <w:rFonts w:ascii="Arial" w:hAnsi="Arial"/>
              <w:caps/>
              <w:color w:val="808080"/>
              <w:sz w:val="20"/>
            </w:rPr>
          </w:pPr>
          <w:r>
            <w:rPr>
              <w:rFonts w:ascii="Arial" w:hAnsi="Arial"/>
              <w:caps/>
              <w:noProof/>
              <w:color w:val="808080"/>
              <w:szCs w:val="24"/>
              <w:lang w:val="fr-BE" w:eastAsia="fr-BE" w:bidi="ar-SA"/>
            </w:rPr>
            <w:drawing>
              <wp:inline distT="0" distB="0" distL="0" distR="0" wp14:anchorId="5019EB82" wp14:editId="0D6CCB99">
                <wp:extent cx="314325" cy="314325"/>
                <wp:effectExtent l="19050" t="0" r="9525" b="0"/>
                <wp:docPr id="6" name="Image 2" descr="DGO6_WOR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O6_WORD2"/>
                        <pic:cNvPicPr>
                          <a:picLocks noChangeAspect="1" noChangeArrowheads="1"/>
                        </pic:cNvPicPr>
                      </pic:nvPicPr>
                      <pic:blipFill>
                        <a:blip r:embed="rId1"/>
                        <a:srcRect/>
                        <a:stretch>
                          <a:fillRect/>
                        </a:stretch>
                      </pic:blipFill>
                      <pic:spPr bwMode="auto">
                        <a:xfrm>
                          <a:off x="0" y="0"/>
                          <a:ext cx="314325" cy="314325"/>
                        </a:xfrm>
                        <a:prstGeom prst="rect">
                          <a:avLst/>
                        </a:prstGeom>
                        <a:noFill/>
                        <a:ln w="9525">
                          <a:noFill/>
                          <a:miter lim="800000"/>
                          <a:headEnd/>
                          <a:tailEnd/>
                        </a:ln>
                      </pic:spPr>
                    </pic:pic>
                  </a:graphicData>
                </a:graphic>
              </wp:inline>
            </w:drawing>
          </w:r>
        </w:p>
      </w:tc>
      <w:tc>
        <w:tcPr>
          <w:tcW w:w="9601" w:type="dxa"/>
          <w:tcBorders>
            <w:left w:val="single" w:sz="4" w:space="0" w:color="auto"/>
          </w:tcBorders>
        </w:tcPr>
        <w:p w14:paraId="19F7EC38" w14:textId="77777777" w:rsidR="007846AF" w:rsidRDefault="007846AF" w:rsidP="00BF1E07">
          <w:pPr>
            <w:pStyle w:val="Normale"/>
            <w:ind w:left="252"/>
            <w:rPr>
              <w:rStyle w:val="Normale1"/>
              <w:rFonts w:ascii="Arial" w:hAnsi="Arial"/>
              <w:caps/>
              <w:color w:val="000080"/>
              <w:sz w:val="20"/>
            </w:rPr>
          </w:pPr>
          <w:r>
            <w:rPr>
              <w:rStyle w:val="Normale1"/>
              <w:rFonts w:ascii="Arial" w:hAnsi="Arial"/>
              <w:caps/>
              <w:color w:val="000080"/>
              <w:sz w:val="20"/>
            </w:rPr>
            <w:t>Direction g</w:t>
          </w:r>
          <w:r>
            <w:rPr>
              <w:rStyle w:val="Normale1"/>
              <w:rFonts w:ascii="Arial" w:hAnsi="Arial"/>
              <w:smallCaps/>
              <w:color w:val="000080"/>
              <w:sz w:val="20"/>
            </w:rPr>
            <w:t>É</w:t>
          </w:r>
          <w:r>
            <w:rPr>
              <w:rStyle w:val="Normale1"/>
              <w:rFonts w:ascii="Arial" w:hAnsi="Arial"/>
              <w:caps/>
              <w:color w:val="000080"/>
              <w:sz w:val="20"/>
            </w:rPr>
            <w:t>n</w:t>
          </w:r>
          <w:r>
            <w:rPr>
              <w:rStyle w:val="Normale1"/>
              <w:rFonts w:ascii="Arial" w:hAnsi="Arial"/>
              <w:smallCaps/>
              <w:color w:val="000080"/>
              <w:sz w:val="20"/>
            </w:rPr>
            <w:t>É</w:t>
          </w:r>
          <w:r>
            <w:rPr>
              <w:rStyle w:val="Normale1"/>
              <w:rFonts w:ascii="Arial" w:hAnsi="Arial"/>
              <w:caps/>
              <w:color w:val="000080"/>
              <w:sz w:val="20"/>
            </w:rPr>
            <w:t>rale op</w:t>
          </w:r>
          <w:r>
            <w:rPr>
              <w:rStyle w:val="Normale1"/>
              <w:rFonts w:ascii="Arial" w:hAnsi="Arial"/>
              <w:smallCaps/>
              <w:color w:val="000080"/>
              <w:sz w:val="20"/>
            </w:rPr>
            <w:t>É</w:t>
          </w:r>
          <w:r>
            <w:rPr>
              <w:rStyle w:val="Normale1"/>
              <w:rFonts w:ascii="Arial" w:hAnsi="Arial"/>
              <w:caps/>
              <w:color w:val="000080"/>
              <w:sz w:val="20"/>
            </w:rPr>
            <w:t>rationnelle</w:t>
          </w:r>
        </w:p>
        <w:p w14:paraId="572DF2EA" w14:textId="77777777" w:rsidR="007846AF" w:rsidRDefault="007846AF" w:rsidP="00BF1E07">
          <w:pPr>
            <w:pStyle w:val="Normale"/>
            <w:ind w:left="252"/>
            <w:rPr>
              <w:rStyle w:val="Normale1"/>
              <w:rFonts w:ascii="Arial" w:hAnsi="Arial"/>
              <w:caps/>
              <w:color w:val="808080"/>
              <w:sz w:val="20"/>
            </w:rPr>
          </w:pPr>
          <w:r>
            <w:rPr>
              <w:rStyle w:val="Normale1"/>
              <w:rFonts w:ascii="Arial" w:hAnsi="Arial"/>
              <w:caps/>
              <w:color w:val="808080"/>
              <w:sz w:val="20"/>
            </w:rPr>
            <w:t>de L’</w:t>
          </w:r>
          <w:r>
            <w:rPr>
              <w:rStyle w:val="Normale1"/>
              <w:rFonts w:ascii="Arial" w:hAnsi="Arial"/>
              <w:smallCaps/>
              <w:color w:val="808080"/>
              <w:sz w:val="20"/>
            </w:rPr>
            <w:t>ÉCONOMIE, DE L’EMPLOI ET DE LA RECHERCHE</w:t>
          </w:r>
        </w:p>
      </w:tc>
    </w:tr>
  </w:tbl>
  <w:p w14:paraId="06058F63" w14:textId="77777777" w:rsidR="007846AF" w:rsidRDefault="007846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87968" w14:textId="77777777" w:rsidR="00422300" w:rsidRDefault="00422300">
      <w:pPr>
        <w:spacing w:before="0"/>
      </w:pPr>
      <w:r>
        <w:separator/>
      </w:r>
    </w:p>
  </w:footnote>
  <w:footnote w:type="continuationSeparator" w:id="0">
    <w:p w14:paraId="108CD042" w14:textId="77777777" w:rsidR="00422300" w:rsidRDefault="00422300">
      <w:pPr>
        <w:spacing w:before="0"/>
      </w:pPr>
      <w:r>
        <w:continuationSeparator/>
      </w:r>
    </w:p>
  </w:footnote>
  <w:footnote w:id="1">
    <w:p w14:paraId="276B01FE" w14:textId="6E8A7144" w:rsidR="0017552D" w:rsidRDefault="0017552D">
      <w:pPr>
        <w:pStyle w:val="Notedebasdepage"/>
      </w:pPr>
      <w:r>
        <w:rPr>
          <w:rStyle w:val="Appelnotedebasdep"/>
        </w:rPr>
        <w:footnoteRef/>
      </w:r>
      <w:r>
        <w:t xml:space="preserve"> </w:t>
      </w:r>
      <w:r>
        <w:rPr>
          <w:sz w:val="17"/>
          <w:szCs w:val="17"/>
        </w:rPr>
        <w:t>Les ressources naturelles comprennent l’énergie, les matières, les métaux, l’eau, la biomasse, l’air et le sol.</w:t>
      </w:r>
    </w:p>
  </w:footnote>
  <w:footnote w:id="2">
    <w:p w14:paraId="34A053B3" w14:textId="201CDF3C" w:rsidR="0017552D" w:rsidRDefault="0017552D">
      <w:pPr>
        <w:pStyle w:val="Notedebasdepage"/>
      </w:pPr>
      <w:r>
        <w:rPr>
          <w:rStyle w:val="Appelnotedebasdep"/>
        </w:rPr>
        <w:footnoteRef/>
      </w:r>
      <w:r>
        <w:t xml:space="preserve"> </w:t>
      </w:r>
      <w:r>
        <w:rPr>
          <w:sz w:val="17"/>
          <w:szCs w:val="17"/>
        </w:rPr>
        <w:t>Par exemple, les inefficacités peuvent être réduites au minimum par une augmentation notable de la durabilité, de la réparabilité, de l’évolutivité et de la réutilisabilité des produits ou par une réduction notable de l’utilisation des ressources par la conception et le choix des matériaux ou en facilitant la réaffectation, le désassemblage et le démontage dans le secteur du bâtiment et de la construction, en particulier pour réduire l’utilisation de matériaux de construction et en promouvoir la réutilisation. Elles peuvent également l’être par une transition vers des modèles commerciaux fondés sur les «produits en tant que services» et des chaînes de valeur circulaires, dans l’objectif de conserver le plus haut niveau d’utilité et de valeur des produits, des composants et des matériaux aussi longtemps que possible, ainsi que par une réduction significative de la teneur en substances dangereuses des matériaux et des produits, y compris en les remplaçant par des substituts plus sûrs, et de la production de déchets alimentaires liés à la production, la transformation, la fabrication ou la distribution alimentaire.</w:t>
      </w:r>
    </w:p>
  </w:footnote>
  <w:footnote w:id="3">
    <w:p w14:paraId="110665C7" w14:textId="768D89B9" w:rsidR="0017552D" w:rsidRDefault="0017552D">
      <w:pPr>
        <w:pStyle w:val="Notedebasdepage"/>
      </w:pPr>
      <w:r>
        <w:rPr>
          <w:rStyle w:val="Appelnotedebasdep"/>
        </w:rPr>
        <w:footnoteRef/>
      </w:r>
      <w:r>
        <w:t xml:space="preserve"> </w:t>
      </w:r>
      <w:r>
        <w:rPr>
          <w:sz w:val="17"/>
          <w:szCs w:val="17"/>
        </w:rPr>
        <w:t xml:space="preserve">Pour de plus amples informations sur l’objectif relatif à l’économie circulaire, </w:t>
      </w:r>
      <w:proofErr w:type="spellStart"/>
      <w:r>
        <w:rPr>
          <w:sz w:val="17"/>
          <w:szCs w:val="17"/>
        </w:rPr>
        <w:t>veuillez vous</w:t>
      </w:r>
      <w:proofErr w:type="spellEnd"/>
      <w:r>
        <w:rPr>
          <w:sz w:val="17"/>
          <w:szCs w:val="17"/>
        </w:rPr>
        <w:t xml:space="preserve"> référer au considérant 27 du règlement sur la taxinomie</w:t>
      </w:r>
    </w:p>
  </w:footnote>
  <w:footnote w:id="4">
    <w:p w14:paraId="7BD1824D" w14:textId="2EC79C08" w:rsidR="0017552D" w:rsidRDefault="0017552D">
      <w:pPr>
        <w:pStyle w:val="Notedebasdepage"/>
      </w:pPr>
      <w:r>
        <w:rPr>
          <w:rStyle w:val="Appelnotedebasdep"/>
        </w:rPr>
        <w:footnoteRef/>
      </w:r>
      <w:r>
        <w:t xml:space="preserve"> </w:t>
      </w:r>
      <w:r>
        <w:rPr>
          <w:sz w:val="17"/>
          <w:szCs w:val="17"/>
        </w:rPr>
        <w:t>On entend par</w:t>
      </w:r>
      <w:proofErr w:type="gramStart"/>
      <w:r>
        <w:rPr>
          <w:sz w:val="17"/>
          <w:szCs w:val="17"/>
        </w:rPr>
        <w:t xml:space="preserve"> «polluant</w:t>
      </w:r>
      <w:proofErr w:type="gramEnd"/>
      <w:r>
        <w:rPr>
          <w:sz w:val="17"/>
          <w:szCs w:val="17"/>
        </w:rPr>
        <w:t>» une substance, une vibration, de la chaleur, du bruit, de la lumière ou tout autre contaminant présent dans l’air, l’eau ou le sol, susceptible de porter atteinte à la santé humaine ou à l’environnement.</w:t>
      </w:r>
    </w:p>
  </w:footnote>
  <w:footnote w:id="5">
    <w:p w14:paraId="6A70A16E" w14:textId="64B15FA6" w:rsidR="0017552D" w:rsidRDefault="0017552D">
      <w:pPr>
        <w:pStyle w:val="Notedebasdepage"/>
      </w:pPr>
      <w:r>
        <w:rPr>
          <w:rStyle w:val="Appelnotedebasdep"/>
        </w:rPr>
        <w:footnoteRef/>
      </w:r>
      <w:r>
        <w:t xml:space="preserve"> </w:t>
      </w:r>
      <w:r>
        <w:rPr>
          <w:sz w:val="17"/>
          <w:szCs w:val="17"/>
        </w:rPr>
        <w:t>En vertu de l’article 2, point 16, du règlement sur la taxinomie, on entend par</w:t>
      </w:r>
      <w:proofErr w:type="gramStart"/>
      <w:r>
        <w:rPr>
          <w:sz w:val="17"/>
          <w:szCs w:val="17"/>
        </w:rPr>
        <w:t xml:space="preserve"> «bon</w:t>
      </w:r>
      <w:proofErr w:type="gramEnd"/>
      <w:r>
        <w:rPr>
          <w:sz w:val="17"/>
          <w:szCs w:val="17"/>
        </w:rPr>
        <w:t xml:space="preserve"> état» en lien avec un écosystème le bon état physique, chimique et biologique ou la bonne qualité physique, chimique et biologique d’un écosystème, lequel est capable de s’autoreproduire ou de s’autorestaurer, et dont la composition en termes d’espèces, la structure et les fonctions écologiques ne sont pas compromises</w:t>
      </w:r>
    </w:p>
  </w:footnote>
  <w:footnote w:id="6">
    <w:p w14:paraId="05ECE4E6" w14:textId="77777777" w:rsidR="00E1595D" w:rsidRPr="00E1595D" w:rsidRDefault="00E1595D" w:rsidP="00E1595D">
      <w:pPr>
        <w:pStyle w:val="Notedebasdepage"/>
        <w:rPr>
          <w:sz w:val="16"/>
          <w:szCs w:val="16"/>
        </w:rPr>
      </w:pPr>
      <w:r w:rsidRPr="005E4268">
        <w:rPr>
          <w:rStyle w:val="Appelnotedebasdep"/>
          <w:sz w:val="16"/>
          <w:szCs w:val="16"/>
        </w:rPr>
        <w:footnoteRef/>
      </w:r>
      <w:hyperlink r:id="rId1" w:history="1">
        <w:r w:rsidRPr="005E4268">
          <w:rPr>
            <w:rStyle w:val="Lienhypertexte"/>
            <w:sz w:val="16"/>
            <w:szCs w:val="16"/>
          </w:rPr>
          <w:t>https://www.google.com/url?sa=t&amp;rct=j&amp;q=&amp;esrc=s&amp;source=web&amp;cd=&amp;cad=rja&amp;uact=8&amp;ved=2ahUKEwi-n9_w4tvxAhXO_rsIHQvCAWcQFjAAegQIBBAD&amp;url=https%3A%2F%2Feur-lex.europa.eu%2Flegal-content%2FFR%2FTXT%2FPDF%2F%3Furi%3DCELEX%3A32020R0852%26from%3DF&amp;usg=AOvVaw1q8ikL9vgN5a8yvRv6DAE2</w:t>
        </w:r>
      </w:hyperlink>
    </w:p>
  </w:footnote>
  <w:footnote w:id="7">
    <w:p w14:paraId="6C15FCA1" w14:textId="77777777" w:rsidR="00E1595D" w:rsidRPr="00E1595D" w:rsidRDefault="00E1595D" w:rsidP="00E1595D">
      <w:pPr>
        <w:pStyle w:val="Notedebasdepage"/>
        <w:rPr>
          <w:sz w:val="16"/>
          <w:szCs w:val="16"/>
        </w:rPr>
      </w:pPr>
      <w:r>
        <w:rPr>
          <w:rStyle w:val="Appelnotedebasdep"/>
        </w:rPr>
        <w:footnoteRef/>
      </w:r>
      <w:hyperlink r:id="rId2" w:history="1">
        <w:r w:rsidRPr="00924CF2">
          <w:rPr>
            <w:rStyle w:val="Lienhypertexte"/>
            <w:sz w:val="16"/>
            <w:szCs w:val="16"/>
          </w:rPr>
          <w:t>https://www.google.com/url?sa=t&amp;rct=j&amp;q=&amp;esrc=s&amp;source=web&amp;cd=&amp;cad=rja&amp;uact=8&amp;ved=2ahUKEwip5MSh49vxAhW6_rsIHa2VB1kQFjAAegQIBhAD&amp;url=https%3A%2F%2Feur-lex.europa.eu%2Flegal-content%2FFR%2FALL%2F%3Furi%3DCELEX%3A52021XC0218(01)&amp;usg=AOvVaw3jo7Slen_iRdGg0s0lmaUU</w:t>
        </w:r>
      </w:hyperlink>
      <w:r w:rsidRPr="00E1595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12173"/>
      <w:gridCol w:w="3260"/>
    </w:tblGrid>
    <w:tr w:rsidR="007846AF" w14:paraId="0989778F" w14:textId="77777777" w:rsidTr="005E4268">
      <w:trPr>
        <w:cantSplit/>
        <w:trHeight w:val="274"/>
      </w:trPr>
      <w:tc>
        <w:tcPr>
          <w:tcW w:w="160" w:type="dxa"/>
          <w:vMerge w:val="restart"/>
          <w:tcBorders>
            <w:top w:val="nil"/>
            <w:left w:val="nil"/>
            <w:bottom w:val="nil"/>
          </w:tcBorders>
        </w:tcPr>
        <w:p w14:paraId="3526B19C" w14:textId="4282BB46" w:rsidR="007846AF" w:rsidRDefault="002564D9" w:rsidP="005E4268">
          <w:pPr>
            <w:pStyle w:val="En-tte"/>
            <w:tabs>
              <w:tab w:val="clear" w:pos="4536"/>
              <w:tab w:val="center" w:pos="18"/>
              <w:tab w:val="left" w:pos="1020"/>
              <w:tab w:val="center" w:pos="4677"/>
            </w:tabs>
          </w:pPr>
          <w:r>
            <w:tab/>
          </w:r>
        </w:p>
      </w:tc>
      <w:tc>
        <w:tcPr>
          <w:tcW w:w="12173" w:type="dxa"/>
          <w:vMerge w:val="restart"/>
          <w:vAlign w:val="center"/>
        </w:tcPr>
        <w:p w14:paraId="28788CD5" w14:textId="2459B98A" w:rsidR="007846AF" w:rsidRDefault="005E4268" w:rsidP="00BF1E07">
          <w:pPr>
            <w:pStyle w:val="En-tte"/>
            <w:tabs>
              <w:tab w:val="left" w:pos="675"/>
              <w:tab w:val="left" w:pos="1020"/>
              <w:tab w:val="center" w:pos="4677"/>
            </w:tabs>
            <w:jc w:val="center"/>
            <w:rPr>
              <w:b/>
            </w:rPr>
          </w:pPr>
          <w:r>
            <w:rPr>
              <w:b/>
            </w:rPr>
            <w:t xml:space="preserve">Analyse du principe </w:t>
          </w:r>
          <w:r w:rsidRPr="005E4268">
            <w:rPr>
              <w:b/>
            </w:rPr>
            <w:t>européen à ne pas causer de préjudice important</w:t>
          </w:r>
          <w:r>
            <w:rPr>
              <w:b/>
            </w:rPr>
            <w:t xml:space="preserve"> - DNSH</w:t>
          </w:r>
        </w:p>
      </w:tc>
      <w:tc>
        <w:tcPr>
          <w:tcW w:w="3260" w:type="dxa"/>
        </w:tcPr>
        <w:p w14:paraId="57C707F7" w14:textId="313924EE" w:rsidR="007846AF" w:rsidRPr="00A32D0E" w:rsidRDefault="005E4268" w:rsidP="00BF1E07">
          <w:pPr>
            <w:pStyle w:val="En-tte"/>
            <w:tabs>
              <w:tab w:val="left" w:pos="1020"/>
              <w:tab w:val="center" w:pos="4677"/>
            </w:tabs>
            <w:rPr>
              <w:sz w:val="18"/>
              <w:szCs w:val="18"/>
            </w:rPr>
          </w:pPr>
          <w:r>
            <w:rPr>
              <w:sz w:val="18"/>
              <w:szCs w:val="18"/>
            </w:rPr>
            <w:t>PNRR</w:t>
          </w:r>
        </w:p>
      </w:tc>
    </w:tr>
    <w:tr w:rsidR="007846AF" w14:paraId="6B808D90" w14:textId="77777777" w:rsidTr="005E4268">
      <w:trPr>
        <w:cantSplit/>
        <w:trHeight w:val="272"/>
      </w:trPr>
      <w:tc>
        <w:tcPr>
          <w:tcW w:w="160" w:type="dxa"/>
          <w:vMerge/>
          <w:tcBorders>
            <w:top w:val="nil"/>
            <w:left w:val="nil"/>
            <w:bottom w:val="nil"/>
          </w:tcBorders>
        </w:tcPr>
        <w:p w14:paraId="79BC60D8" w14:textId="77777777" w:rsidR="007846AF" w:rsidRDefault="007846AF" w:rsidP="00BF1E07">
          <w:pPr>
            <w:pStyle w:val="En-tte"/>
            <w:tabs>
              <w:tab w:val="left" w:pos="1020"/>
              <w:tab w:val="center" w:pos="4677"/>
            </w:tabs>
          </w:pPr>
        </w:p>
      </w:tc>
      <w:tc>
        <w:tcPr>
          <w:tcW w:w="12173" w:type="dxa"/>
          <w:vMerge/>
        </w:tcPr>
        <w:p w14:paraId="4ADC2BA4" w14:textId="77777777" w:rsidR="007846AF" w:rsidRDefault="007846AF" w:rsidP="00BF1E07">
          <w:pPr>
            <w:pStyle w:val="En-tte"/>
            <w:tabs>
              <w:tab w:val="left" w:pos="1020"/>
              <w:tab w:val="center" w:pos="4677"/>
            </w:tabs>
            <w:jc w:val="center"/>
            <w:rPr>
              <w:b/>
            </w:rPr>
          </w:pPr>
        </w:p>
      </w:tc>
      <w:tc>
        <w:tcPr>
          <w:tcW w:w="3260" w:type="dxa"/>
        </w:tcPr>
        <w:p w14:paraId="7B82FF14" w14:textId="77777777" w:rsidR="007846AF" w:rsidRPr="00A32D0E" w:rsidRDefault="007846AF" w:rsidP="00BF1E07">
          <w:pPr>
            <w:pStyle w:val="En-tte"/>
            <w:tabs>
              <w:tab w:val="left" w:pos="1020"/>
              <w:tab w:val="center" w:pos="4677"/>
            </w:tabs>
            <w:rPr>
              <w:sz w:val="18"/>
              <w:szCs w:val="18"/>
            </w:rPr>
          </w:pPr>
          <w:r w:rsidRPr="00A32D0E">
            <w:rPr>
              <w:snapToGrid w:val="0"/>
              <w:sz w:val="18"/>
              <w:szCs w:val="18"/>
              <w:lang w:eastAsia="fr-FR"/>
            </w:rPr>
            <w:t xml:space="preserve">Page </w:t>
          </w:r>
          <w:r w:rsidR="002C6A81" w:rsidRPr="00A32D0E">
            <w:rPr>
              <w:snapToGrid w:val="0"/>
              <w:sz w:val="18"/>
              <w:szCs w:val="18"/>
              <w:lang w:eastAsia="fr-FR"/>
            </w:rPr>
            <w:fldChar w:fldCharType="begin"/>
          </w:r>
          <w:r w:rsidRPr="00A32D0E">
            <w:rPr>
              <w:snapToGrid w:val="0"/>
              <w:sz w:val="18"/>
              <w:szCs w:val="18"/>
              <w:lang w:eastAsia="fr-FR"/>
            </w:rPr>
            <w:instrText xml:space="preserve"> PAGE </w:instrText>
          </w:r>
          <w:r w:rsidR="002C6A81" w:rsidRPr="00A32D0E">
            <w:rPr>
              <w:snapToGrid w:val="0"/>
              <w:sz w:val="18"/>
              <w:szCs w:val="18"/>
              <w:lang w:eastAsia="fr-FR"/>
            </w:rPr>
            <w:fldChar w:fldCharType="separate"/>
          </w:r>
          <w:r w:rsidR="0040346B">
            <w:rPr>
              <w:noProof/>
              <w:snapToGrid w:val="0"/>
              <w:sz w:val="18"/>
              <w:szCs w:val="18"/>
              <w:lang w:eastAsia="fr-FR"/>
            </w:rPr>
            <w:t>1</w:t>
          </w:r>
          <w:r w:rsidR="002C6A81" w:rsidRPr="00A32D0E">
            <w:rPr>
              <w:snapToGrid w:val="0"/>
              <w:sz w:val="18"/>
              <w:szCs w:val="18"/>
              <w:lang w:eastAsia="fr-FR"/>
            </w:rPr>
            <w:fldChar w:fldCharType="end"/>
          </w:r>
          <w:r w:rsidRPr="00A32D0E">
            <w:rPr>
              <w:snapToGrid w:val="0"/>
              <w:sz w:val="18"/>
              <w:szCs w:val="18"/>
              <w:lang w:eastAsia="fr-FR"/>
            </w:rPr>
            <w:t xml:space="preserve"> sur </w:t>
          </w:r>
          <w:r w:rsidR="002C6A81" w:rsidRPr="00A32D0E">
            <w:rPr>
              <w:snapToGrid w:val="0"/>
              <w:sz w:val="18"/>
              <w:szCs w:val="18"/>
              <w:lang w:eastAsia="fr-FR"/>
            </w:rPr>
            <w:fldChar w:fldCharType="begin"/>
          </w:r>
          <w:r w:rsidRPr="00A32D0E">
            <w:rPr>
              <w:snapToGrid w:val="0"/>
              <w:sz w:val="18"/>
              <w:szCs w:val="18"/>
              <w:lang w:eastAsia="fr-FR"/>
            </w:rPr>
            <w:instrText xml:space="preserve"> NUMPAGES </w:instrText>
          </w:r>
          <w:r w:rsidR="002C6A81" w:rsidRPr="00A32D0E">
            <w:rPr>
              <w:snapToGrid w:val="0"/>
              <w:sz w:val="18"/>
              <w:szCs w:val="18"/>
              <w:lang w:eastAsia="fr-FR"/>
            </w:rPr>
            <w:fldChar w:fldCharType="separate"/>
          </w:r>
          <w:r w:rsidR="0040346B">
            <w:rPr>
              <w:noProof/>
              <w:snapToGrid w:val="0"/>
              <w:sz w:val="18"/>
              <w:szCs w:val="18"/>
              <w:lang w:eastAsia="fr-FR"/>
            </w:rPr>
            <w:t>2</w:t>
          </w:r>
          <w:r w:rsidR="002C6A81" w:rsidRPr="00A32D0E">
            <w:rPr>
              <w:snapToGrid w:val="0"/>
              <w:sz w:val="18"/>
              <w:szCs w:val="18"/>
              <w:lang w:eastAsia="fr-FR"/>
            </w:rPr>
            <w:fldChar w:fldCharType="end"/>
          </w:r>
        </w:p>
      </w:tc>
    </w:tr>
  </w:tbl>
  <w:p w14:paraId="3DC3AB59" w14:textId="77777777" w:rsidR="00CE28AF" w:rsidRDefault="00CE28AF">
    <w:pPr>
      <w:pStyle w:val="En-tte"/>
      <w:tabs>
        <w:tab w:val="left" w:pos="1020"/>
        <w:tab w:val="center" w:pos="467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4395"/>
      <w:gridCol w:w="2835"/>
    </w:tblGrid>
    <w:tr w:rsidR="007846AF" w14:paraId="2D44BB24" w14:textId="77777777" w:rsidTr="00BF1E07">
      <w:trPr>
        <w:cantSplit/>
        <w:trHeight w:val="510"/>
      </w:trPr>
      <w:tc>
        <w:tcPr>
          <w:tcW w:w="2338" w:type="dxa"/>
          <w:vMerge w:val="restart"/>
          <w:tcBorders>
            <w:top w:val="nil"/>
            <w:left w:val="nil"/>
            <w:bottom w:val="nil"/>
          </w:tcBorders>
        </w:tcPr>
        <w:p w14:paraId="1ABFD23E" w14:textId="77777777" w:rsidR="007846AF" w:rsidRDefault="00A32D0E" w:rsidP="00BF1E07">
          <w:pPr>
            <w:pStyle w:val="En-tte"/>
            <w:tabs>
              <w:tab w:val="left" w:pos="1020"/>
              <w:tab w:val="center" w:pos="4677"/>
            </w:tabs>
          </w:pPr>
          <w:r w:rsidRPr="00A32D0E">
            <w:rPr>
              <w:noProof/>
            </w:rPr>
            <w:drawing>
              <wp:inline distT="0" distB="0" distL="0" distR="0" wp14:anchorId="5E79AEB8" wp14:editId="7D30B197">
                <wp:extent cx="1323975" cy="571500"/>
                <wp:effectExtent l="19050" t="0" r="9525" b="0"/>
                <wp:docPr id="1" name="Image 1" descr="spw_recherche.png"/>
                <wp:cNvGraphicFramePr/>
                <a:graphic xmlns:a="http://schemas.openxmlformats.org/drawingml/2006/main">
                  <a:graphicData uri="http://schemas.openxmlformats.org/drawingml/2006/picture">
                    <pic:pic xmlns:pic="http://schemas.openxmlformats.org/drawingml/2006/picture">
                      <pic:nvPicPr>
                        <pic:cNvPr id="0" name="Picture 1" descr="spw_recherche.png"/>
                        <pic:cNvPicPr>
                          <a:picLocks noChangeAspect="1" noChangeArrowheads="1"/>
                        </pic:cNvPicPr>
                      </pic:nvPicPr>
                      <pic:blipFill>
                        <a:blip r:embed="rId1"/>
                        <a:srcRect/>
                        <a:stretch>
                          <a:fillRect/>
                        </a:stretch>
                      </pic:blipFill>
                      <pic:spPr bwMode="auto">
                        <a:xfrm>
                          <a:off x="0" y="0"/>
                          <a:ext cx="1323975" cy="571500"/>
                        </a:xfrm>
                        <a:prstGeom prst="rect">
                          <a:avLst/>
                        </a:prstGeom>
                        <a:noFill/>
                        <a:ln w="9525">
                          <a:noFill/>
                          <a:miter lim="800000"/>
                          <a:headEnd/>
                          <a:tailEnd/>
                        </a:ln>
                      </pic:spPr>
                    </pic:pic>
                  </a:graphicData>
                </a:graphic>
              </wp:inline>
            </w:drawing>
          </w:r>
        </w:p>
      </w:tc>
      <w:tc>
        <w:tcPr>
          <w:tcW w:w="4395" w:type="dxa"/>
          <w:vMerge w:val="restart"/>
          <w:vAlign w:val="center"/>
        </w:tcPr>
        <w:p w14:paraId="4BF1569C" w14:textId="77777777" w:rsidR="007846AF" w:rsidRDefault="007846AF" w:rsidP="00BF1E07">
          <w:pPr>
            <w:pStyle w:val="En-tte"/>
            <w:tabs>
              <w:tab w:val="left" w:pos="675"/>
              <w:tab w:val="left" w:pos="1020"/>
              <w:tab w:val="center" w:pos="4677"/>
            </w:tabs>
            <w:jc w:val="center"/>
            <w:rPr>
              <w:b/>
            </w:rPr>
          </w:pPr>
          <w:r>
            <w:rPr>
              <w:b/>
            </w:rPr>
            <w:t>RAPPORT INTERNE</w:t>
          </w:r>
        </w:p>
      </w:tc>
      <w:tc>
        <w:tcPr>
          <w:tcW w:w="2835" w:type="dxa"/>
        </w:tcPr>
        <w:p w14:paraId="04948075" w14:textId="77777777" w:rsidR="007846AF" w:rsidRDefault="007846AF" w:rsidP="00BF1E07">
          <w:pPr>
            <w:pStyle w:val="En-tte"/>
            <w:tabs>
              <w:tab w:val="left" w:pos="1020"/>
              <w:tab w:val="center" w:pos="4677"/>
            </w:tabs>
            <w:rPr>
              <w:snapToGrid w:val="0"/>
              <w:lang w:eastAsia="fr-FR"/>
            </w:rPr>
          </w:pPr>
          <w:proofErr w:type="gramStart"/>
          <w:r>
            <w:t>Réf:</w:t>
          </w:r>
          <w:proofErr w:type="gramEnd"/>
          <w:r>
            <w:t xml:space="preserve"> </w:t>
          </w:r>
          <w:r w:rsidR="002C6A81">
            <w:rPr>
              <w:snapToGrid w:val="0"/>
              <w:lang w:eastAsia="fr-FR"/>
            </w:rPr>
            <w:fldChar w:fldCharType="begin"/>
          </w:r>
          <w:r>
            <w:rPr>
              <w:snapToGrid w:val="0"/>
              <w:lang w:eastAsia="fr-FR"/>
            </w:rPr>
            <w:instrText xml:space="preserve"> FILENAME </w:instrText>
          </w:r>
          <w:r w:rsidR="002C6A81">
            <w:rPr>
              <w:snapToGrid w:val="0"/>
              <w:lang w:eastAsia="fr-FR"/>
            </w:rPr>
            <w:fldChar w:fldCharType="separate"/>
          </w:r>
          <w:r w:rsidR="00E6074B">
            <w:rPr>
              <w:noProof/>
              <w:snapToGrid w:val="0"/>
              <w:lang w:eastAsia="fr-FR"/>
            </w:rPr>
            <w:t>Document2</w:t>
          </w:r>
          <w:r w:rsidR="002C6A81">
            <w:rPr>
              <w:snapToGrid w:val="0"/>
              <w:lang w:eastAsia="fr-FR"/>
            </w:rPr>
            <w:fldChar w:fldCharType="end"/>
          </w:r>
        </w:p>
        <w:p w14:paraId="5010BD8D" w14:textId="77777777" w:rsidR="007846AF" w:rsidRDefault="007846AF" w:rsidP="00BF1E07">
          <w:pPr>
            <w:pStyle w:val="En-tte"/>
            <w:tabs>
              <w:tab w:val="left" w:pos="1020"/>
              <w:tab w:val="center" w:pos="4677"/>
            </w:tabs>
          </w:pPr>
          <w:r>
            <w:rPr>
              <w:snapToGrid w:val="0"/>
              <w:lang w:eastAsia="fr-FR"/>
            </w:rPr>
            <w:t>I. HAUBERT</w:t>
          </w:r>
        </w:p>
      </w:tc>
    </w:tr>
    <w:tr w:rsidR="007846AF" w14:paraId="36E3CD69" w14:textId="77777777" w:rsidTr="00BF1E07">
      <w:trPr>
        <w:cantSplit/>
        <w:trHeight w:val="425"/>
      </w:trPr>
      <w:tc>
        <w:tcPr>
          <w:tcW w:w="2338" w:type="dxa"/>
          <w:vMerge/>
          <w:tcBorders>
            <w:top w:val="nil"/>
            <w:left w:val="nil"/>
            <w:bottom w:val="nil"/>
          </w:tcBorders>
        </w:tcPr>
        <w:p w14:paraId="40CC23A7" w14:textId="77777777" w:rsidR="007846AF" w:rsidRDefault="007846AF" w:rsidP="00BF1E07">
          <w:pPr>
            <w:pStyle w:val="En-tte"/>
            <w:tabs>
              <w:tab w:val="left" w:pos="1020"/>
              <w:tab w:val="center" w:pos="4677"/>
            </w:tabs>
          </w:pPr>
        </w:p>
      </w:tc>
      <w:tc>
        <w:tcPr>
          <w:tcW w:w="4395" w:type="dxa"/>
          <w:vMerge/>
        </w:tcPr>
        <w:p w14:paraId="728093C2" w14:textId="77777777" w:rsidR="007846AF" w:rsidRDefault="007846AF" w:rsidP="00BF1E07">
          <w:pPr>
            <w:pStyle w:val="En-tte"/>
            <w:tabs>
              <w:tab w:val="left" w:pos="1020"/>
              <w:tab w:val="center" w:pos="4677"/>
            </w:tabs>
            <w:jc w:val="center"/>
            <w:rPr>
              <w:b/>
            </w:rPr>
          </w:pPr>
        </w:p>
      </w:tc>
      <w:tc>
        <w:tcPr>
          <w:tcW w:w="2835" w:type="dxa"/>
        </w:tcPr>
        <w:p w14:paraId="49B16E5D" w14:textId="77777777" w:rsidR="007846AF" w:rsidRDefault="007846AF" w:rsidP="00BF1E07">
          <w:pPr>
            <w:pStyle w:val="En-tte"/>
            <w:tabs>
              <w:tab w:val="left" w:pos="1020"/>
              <w:tab w:val="center" w:pos="4677"/>
            </w:tabs>
          </w:pPr>
          <w:r>
            <w:rPr>
              <w:snapToGrid w:val="0"/>
              <w:lang w:eastAsia="fr-FR"/>
            </w:rPr>
            <w:t xml:space="preserve">Page </w:t>
          </w:r>
          <w:r w:rsidR="002C6A81">
            <w:rPr>
              <w:snapToGrid w:val="0"/>
              <w:lang w:eastAsia="fr-FR"/>
            </w:rPr>
            <w:fldChar w:fldCharType="begin"/>
          </w:r>
          <w:r>
            <w:rPr>
              <w:snapToGrid w:val="0"/>
              <w:lang w:eastAsia="fr-FR"/>
            </w:rPr>
            <w:instrText xml:space="preserve"> PAGE </w:instrText>
          </w:r>
          <w:r w:rsidR="002C6A81">
            <w:rPr>
              <w:snapToGrid w:val="0"/>
              <w:lang w:eastAsia="fr-FR"/>
            </w:rPr>
            <w:fldChar w:fldCharType="separate"/>
          </w:r>
          <w:r w:rsidR="00A32D0E">
            <w:rPr>
              <w:noProof/>
              <w:snapToGrid w:val="0"/>
              <w:lang w:eastAsia="fr-FR"/>
            </w:rPr>
            <w:t>1</w:t>
          </w:r>
          <w:r w:rsidR="002C6A81">
            <w:rPr>
              <w:snapToGrid w:val="0"/>
              <w:lang w:eastAsia="fr-FR"/>
            </w:rPr>
            <w:fldChar w:fldCharType="end"/>
          </w:r>
          <w:r>
            <w:rPr>
              <w:snapToGrid w:val="0"/>
              <w:lang w:eastAsia="fr-FR"/>
            </w:rPr>
            <w:t xml:space="preserve"> sur </w:t>
          </w:r>
          <w:r w:rsidR="002C6A81">
            <w:rPr>
              <w:snapToGrid w:val="0"/>
              <w:lang w:eastAsia="fr-FR"/>
            </w:rPr>
            <w:fldChar w:fldCharType="begin"/>
          </w:r>
          <w:r>
            <w:rPr>
              <w:snapToGrid w:val="0"/>
              <w:lang w:eastAsia="fr-FR"/>
            </w:rPr>
            <w:instrText xml:space="preserve"> NUMPAGES </w:instrText>
          </w:r>
          <w:r w:rsidR="002C6A81">
            <w:rPr>
              <w:snapToGrid w:val="0"/>
              <w:lang w:eastAsia="fr-FR"/>
            </w:rPr>
            <w:fldChar w:fldCharType="separate"/>
          </w:r>
          <w:r w:rsidR="00A32D0E">
            <w:rPr>
              <w:noProof/>
              <w:snapToGrid w:val="0"/>
              <w:lang w:eastAsia="fr-FR"/>
            </w:rPr>
            <w:t>2</w:t>
          </w:r>
          <w:r w:rsidR="002C6A81">
            <w:rPr>
              <w:snapToGrid w:val="0"/>
              <w:lang w:eastAsia="fr-FR"/>
            </w:rPr>
            <w:fldChar w:fldCharType="end"/>
          </w:r>
        </w:p>
      </w:tc>
    </w:tr>
  </w:tbl>
  <w:p w14:paraId="5C4C1700" w14:textId="77777777" w:rsidR="00CE28AF" w:rsidRPr="007846AF" w:rsidRDefault="00CE28AF" w:rsidP="007846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6963"/>
    <w:multiLevelType w:val="hybridMultilevel"/>
    <w:tmpl w:val="46A22F74"/>
    <w:lvl w:ilvl="0" w:tplc="DA8CB156">
      <w:start w:val="1"/>
      <w:numFmt w:val="bullet"/>
      <w:pStyle w:val="CellLeft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3456DE"/>
    <w:multiLevelType w:val="hybridMultilevel"/>
    <w:tmpl w:val="98B87078"/>
    <w:lvl w:ilvl="0" w:tplc="080C001B">
      <w:start w:val="1"/>
      <w:numFmt w:val="lowerRoman"/>
      <w:lvlText w:val="%1."/>
      <w:lvlJc w:val="right"/>
      <w:pPr>
        <w:ind w:left="1428" w:hanging="360"/>
      </w:pPr>
    </w:lvl>
    <w:lvl w:ilvl="1" w:tplc="080C0019">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2" w15:restartNumberingAfterBreak="0">
    <w:nsid w:val="0C62469D"/>
    <w:multiLevelType w:val="hybridMultilevel"/>
    <w:tmpl w:val="8E68C750"/>
    <w:lvl w:ilvl="0" w:tplc="080C001B">
      <w:start w:val="1"/>
      <w:numFmt w:val="lowerRoman"/>
      <w:lvlText w:val="%1."/>
      <w:lvlJc w:val="right"/>
      <w:pPr>
        <w:ind w:left="1428" w:hanging="360"/>
      </w:pPr>
    </w:lvl>
    <w:lvl w:ilvl="1" w:tplc="D7E05EF2">
      <w:start w:val="1"/>
      <w:numFmt w:val="lowerRoman"/>
      <w:lvlText w:val="%2)"/>
      <w:lvlJc w:val="left"/>
      <w:pPr>
        <w:ind w:left="2508" w:hanging="720"/>
      </w:pPr>
      <w:rPr>
        <w:rFonts w:hint="default"/>
      </w:r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3" w15:restartNumberingAfterBreak="0">
    <w:nsid w:val="1FA25116"/>
    <w:multiLevelType w:val="hybridMultilevel"/>
    <w:tmpl w:val="D9A8B738"/>
    <w:lvl w:ilvl="0" w:tplc="4EBCE23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0BE5351"/>
    <w:multiLevelType w:val="hybridMultilevel"/>
    <w:tmpl w:val="3D46FD7A"/>
    <w:lvl w:ilvl="0" w:tplc="EF7E61A4">
      <w:start w:val="3"/>
      <w:numFmt w:val="bullet"/>
      <w:lvlText w:val="-"/>
      <w:lvlJc w:val="left"/>
      <w:pPr>
        <w:ind w:left="720" w:hanging="360"/>
      </w:pPr>
      <w:rPr>
        <w:rFonts w:ascii="Calibri" w:eastAsia="Times New Roman" w:hAnsi="Calibri" w:cs="Calibri" w:hint="default"/>
        <w:color w:val="000000"/>
        <w:sz w:val="2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2226557B"/>
    <w:multiLevelType w:val="hybridMultilevel"/>
    <w:tmpl w:val="98B0085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2E8598A"/>
    <w:multiLevelType w:val="multilevel"/>
    <w:tmpl w:val="6FBCEA40"/>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D2D5BA2"/>
    <w:multiLevelType w:val="hybridMultilevel"/>
    <w:tmpl w:val="4A50512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96325C4"/>
    <w:multiLevelType w:val="hybridMultilevel"/>
    <w:tmpl w:val="03C847E0"/>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D81028B"/>
    <w:multiLevelType w:val="hybridMultilevel"/>
    <w:tmpl w:val="A9EA1254"/>
    <w:lvl w:ilvl="0" w:tplc="8AF8F63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38317A2"/>
    <w:multiLevelType w:val="hybridMultilevel"/>
    <w:tmpl w:val="8DBE1B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8D528F0"/>
    <w:multiLevelType w:val="multilevel"/>
    <w:tmpl w:val="6CFEE6B6"/>
    <w:lvl w:ilvl="0">
      <w:start w:val="1"/>
      <w:numFmt w:val="decimal"/>
      <w:pStyle w:val="tit0"/>
      <w:lvlText w:val="%1."/>
      <w:lvlJc w:val="left"/>
      <w:pPr>
        <w:ind w:left="360" w:hanging="360"/>
      </w:pPr>
    </w:lvl>
    <w:lvl w:ilvl="1">
      <w:start w:val="1"/>
      <w:numFmt w:val="decimal"/>
      <w:pStyle w:val="tit1"/>
      <w:lvlText w:val="%1.%2."/>
      <w:lvlJc w:val="left"/>
      <w:pPr>
        <w:tabs>
          <w:tab w:val="num" w:pos="567"/>
        </w:tabs>
        <w:ind w:left="567" w:hanging="567"/>
      </w:pPr>
      <w:rPr>
        <w:rFonts w:cs="Times New Roman"/>
      </w:rPr>
    </w:lvl>
    <w:lvl w:ilvl="2">
      <w:start w:val="1"/>
      <w:numFmt w:val="decimal"/>
      <w:pStyle w:val="tit2"/>
      <w:lvlText w:val="%1.%2.%3."/>
      <w:lvlJc w:val="left"/>
      <w:pPr>
        <w:tabs>
          <w:tab w:val="num" w:pos="709"/>
        </w:tabs>
        <w:ind w:left="709" w:hanging="709"/>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space"/>
      <w:lvlText w:val="%4."/>
      <w:lvlJc w:val="left"/>
      <w:pPr>
        <w:ind w:left="0" w:firstLine="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643A6438"/>
    <w:multiLevelType w:val="singleLevel"/>
    <w:tmpl w:val="DACEBF84"/>
    <w:lvl w:ilvl="0">
      <w:start w:val="1"/>
      <w:numFmt w:val="upperLetter"/>
      <w:pStyle w:val="Titre3"/>
      <w:lvlText w:val="%1."/>
      <w:lvlJc w:val="left"/>
      <w:pPr>
        <w:tabs>
          <w:tab w:val="num" w:pos="360"/>
        </w:tabs>
        <w:ind w:left="360" w:hanging="360"/>
      </w:pPr>
    </w:lvl>
  </w:abstractNum>
  <w:abstractNum w:abstractNumId="13" w15:restartNumberingAfterBreak="0">
    <w:nsid w:val="66C72D8E"/>
    <w:multiLevelType w:val="singleLevel"/>
    <w:tmpl w:val="7792C158"/>
    <w:lvl w:ilvl="0">
      <w:start w:val="1"/>
      <w:numFmt w:val="decimal"/>
      <w:lvlText w:val="%1."/>
      <w:lvlJc w:val="left"/>
      <w:pPr>
        <w:tabs>
          <w:tab w:val="num" w:pos="360"/>
        </w:tabs>
        <w:ind w:left="360" w:hanging="360"/>
      </w:pPr>
    </w:lvl>
  </w:abstractNum>
  <w:abstractNum w:abstractNumId="14" w15:restartNumberingAfterBreak="0">
    <w:nsid w:val="6D496590"/>
    <w:multiLevelType w:val="hybridMultilevel"/>
    <w:tmpl w:val="02966E64"/>
    <w:lvl w:ilvl="0" w:tplc="3332675E">
      <w:start w:val="1"/>
      <w:numFmt w:val="lowerRoman"/>
      <w:lvlText w:val="%1)"/>
      <w:lvlJc w:val="left"/>
      <w:pPr>
        <w:ind w:left="1428" w:hanging="72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5" w15:restartNumberingAfterBreak="0">
    <w:nsid w:val="7E944492"/>
    <w:multiLevelType w:val="hybridMultilevel"/>
    <w:tmpl w:val="53F41E52"/>
    <w:lvl w:ilvl="0" w:tplc="9326BD00">
      <w:start w:val="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0"/>
  </w:num>
  <w:num w:numId="7">
    <w:abstractNumId w:val="9"/>
  </w:num>
  <w:num w:numId="8">
    <w:abstractNumId w:val="7"/>
  </w:num>
  <w:num w:numId="9">
    <w:abstractNumId w:val="5"/>
  </w:num>
  <w:num w:numId="10">
    <w:abstractNumId w:val="8"/>
  </w:num>
  <w:num w:numId="11">
    <w:abstractNumId w:val="2"/>
  </w:num>
  <w:num w:numId="12">
    <w:abstractNumId w:val="14"/>
  </w:num>
  <w:num w:numId="13">
    <w:abstractNumId w:val="1"/>
  </w:num>
  <w:num w:numId="14">
    <w:abstractNumId w:val="10"/>
  </w:num>
  <w:num w:numId="15">
    <w:abstractNumId w:val="3"/>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4B"/>
    <w:rsid w:val="000C5124"/>
    <w:rsid w:val="000C6D75"/>
    <w:rsid w:val="0017552D"/>
    <w:rsid w:val="00187BC3"/>
    <w:rsid w:val="001A5146"/>
    <w:rsid w:val="00213454"/>
    <w:rsid w:val="00245221"/>
    <w:rsid w:val="002564D9"/>
    <w:rsid w:val="0028646A"/>
    <w:rsid w:val="002C6A81"/>
    <w:rsid w:val="0034347F"/>
    <w:rsid w:val="003F0DD1"/>
    <w:rsid w:val="0040346B"/>
    <w:rsid w:val="00422300"/>
    <w:rsid w:val="00515A99"/>
    <w:rsid w:val="00570758"/>
    <w:rsid w:val="005D66A1"/>
    <w:rsid w:val="005E4268"/>
    <w:rsid w:val="00604E17"/>
    <w:rsid w:val="006D5002"/>
    <w:rsid w:val="007846AF"/>
    <w:rsid w:val="007A5B8E"/>
    <w:rsid w:val="00841E6A"/>
    <w:rsid w:val="008C1576"/>
    <w:rsid w:val="0095013A"/>
    <w:rsid w:val="00970A2A"/>
    <w:rsid w:val="009C7B34"/>
    <w:rsid w:val="00A14A94"/>
    <w:rsid w:val="00A32D0E"/>
    <w:rsid w:val="00A34CE1"/>
    <w:rsid w:val="00AD1260"/>
    <w:rsid w:val="00B51ABD"/>
    <w:rsid w:val="00BC67FF"/>
    <w:rsid w:val="00C275D9"/>
    <w:rsid w:val="00C679E2"/>
    <w:rsid w:val="00CE28AF"/>
    <w:rsid w:val="00D4373C"/>
    <w:rsid w:val="00D44307"/>
    <w:rsid w:val="00D92D73"/>
    <w:rsid w:val="00DB4844"/>
    <w:rsid w:val="00E1595D"/>
    <w:rsid w:val="00E324C6"/>
    <w:rsid w:val="00E6074B"/>
    <w:rsid w:val="00F23D04"/>
    <w:rsid w:val="00FF6B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2B5CE5"/>
  <w15:docId w15:val="{E345653E-3D5E-4469-BE16-F07C9541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44"/>
    <w:pPr>
      <w:spacing w:before="60"/>
      <w:jc w:val="both"/>
    </w:pPr>
    <w:rPr>
      <w:rFonts w:ascii="Arial" w:hAnsi="Arial"/>
    </w:rPr>
  </w:style>
  <w:style w:type="paragraph" w:styleId="Titre1">
    <w:name w:val="heading 1"/>
    <w:basedOn w:val="Normal"/>
    <w:next w:val="Normal"/>
    <w:qFormat/>
    <w:rsid w:val="00CE28AF"/>
    <w:pPr>
      <w:keepNext/>
      <w:numPr>
        <w:numId w:val="2"/>
      </w:numPr>
      <w:pBdr>
        <w:top w:val="single" w:sz="4" w:space="1" w:color="auto"/>
        <w:left w:val="single" w:sz="4" w:space="4" w:color="auto"/>
        <w:bottom w:val="single" w:sz="4" w:space="1" w:color="auto"/>
        <w:right w:val="single" w:sz="4" w:space="4" w:color="auto"/>
      </w:pBdr>
      <w:spacing w:before="240" w:after="60"/>
      <w:outlineLvl w:val="0"/>
    </w:pPr>
    <w:rPr>
      <w:b/>
      <w:smallCaps/>
      <w:kern w:val="28"/>
    </w:rPr>
  </w:style>
  <w:style w:type="paragraph" w:styleId="Titre2">
    <w:name w:val="heading 2"/>
    <w:basedOn w:val="Normal"/>
    <w:next w:val="Normal"/>
    <w:qFormat/>
    <w:rsid w:val="00CE28AF"/>
    <w:pPr>
      <w:keepNext/>
      <w:numPr>
        <w:ilvl w:val="1"/>
        <w:numId w:val="2"/>
      </w:numPr>
      <w:pBdr>
        <w:bottom w:val="single" w:sz="4" w:space="1" w:color="auto"/>
      </w:pBdr>
      <w:spacing w:before="240" w:after="60"/>
      <w:outlineLvl w:val="1"/>
    </w:pPr>
    <w:rPr>
      <w:b/>
      <w:smallCaps/>
    </w:rPr>
  </w:style>
  <w:style w:type="paragraph" w:styleId="Titre3">
    <w:name w:val="heading 3"/>
    <w:basedOn w:val="Normal"/>
    <w:next w:val="Normal"/>
    <w:qFormat/>
    <w:rsid w:val="00CE28AF"/>
    <w:pPr>
      <w:keepNext/>
      <w:numPr>
        <w:numId w:val="3"/>
      </w:numPr>
      <w:spacing w:before="120" w:after="6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CE28AF"/>
    <w:pPr>
      <w:tabs>
        <w:tab w:val="center" w:pos="4536"/>
        <w:tab w:val="right" w:pos="9072"/>
      </w:tabs>
    </w:pPr>
  </w:style>
  <w:style w:type="paragraph" w:styleId="Pieddepage">
    <w:name w:val="footer"/>
    <w:basedOn w:val="Normal"/>
    <w:semiHidden/>
    <w:rsid w:val="00CE28AF"/>
    <w:pPr>
      <w:tabs>
        <w:tab w:val="center" w:pos="4536"/>
        <w:tab w:val="right" w:pos="9072"/>
      </w:tabs>
    </w:pPr>
  </w:style>
  <w:style w:type="paragraph" w:customStyle="1" w:styleId="Normale">
    <w:name w:val="Normal(e)"/>
    <w:basedOn w:val="Normal"/>
    <w:rsid w:val="00CE28AF"/>
    <w:pPr>
      <w:widowControl w:val="0"/>
      <w:autoSpaceDE w:val="0"/>
      <w:autoSpaceDN w:val="0"/>
      <w:adjustRightInd w:val="0"/>
      <w:textAlignment w:val="center"/>
    </w:pPr>
    <w:rPr>
      <w:rFonts w:ascii="Helvetica" w:hAnsi="Helvetica" w:cs="Helvetica"/>
      <w:color w:val="000000"/>
      <w:lang w:val="fr-FR" w:eastAsia="fr-FR" w:bidi="fr-FR"/>
    </w:rPr>
  </w:style>
  <w:style w:type="character" w:customStyle="1" w:styleId="Normale1">
    <w:name w:val="Normal(e)1"/>
    <w:rsid w:val="00CE28AF"/>
    <w:rPr>
      <w:rFonts w:ascii="Helvetica" w:hAnsi="Helvetica" w:cs="Helvetica"/>
      <w:color w:val="000000"/>
      <w:spacing w:val="0"/>
      <w:w w:val="100"/>
      <w:position w:val="0"/>
      <w:sz w:val="24"/>
      <w:szCs w:val="24"/>
      <w:u w:val="none"/>
      <w:vertAlign w:val="baseline"/>
    </w:rPr>
  </w:style>
  <w:style w:type="paragraph" w:customStyle="1" w:styleId="Titre0">
    <w:name w:val="Titre 0"/>
    <w:basedOn w:val="Normal"/>
    <w:next w:val="Normal"/>
    <w:rsid w:val="00CE28AF"/>
    <w:pPr>
      <w:pBdr>
        <w:top w:val="single" w:sz="4" w:space="1" w:color="auto"/>
        <w:left w:val="single" w:sz="4" w:space="4" w:color="auto"/>
        <w:bottom w:val="single" w:sz="4" w:space="1" w:color="auto"/>
        <w:right w:val="single" w:sz="4" w:space="4" w:color="auto"/>
      </w:pBdr>
      <w:shd w:val="pct15" w:color="auto" w:fill="FFFFFF"/>
      <w:spacing w:before="120" w:after="120"/>
      <w:jc w:val="center"/>
    </w:pPr>
    <w:rPr>
      <w:b/>
      <w:caps/>
      <w:sz w:val="28"/>
    </w:rPr>
  </w:style>
  <w:style w:type="paragraph" w:styleId="Textedebulles">
    <w:name w:val="Balloon Text"/>
    <w:basedOn w:val="Normal"/>
    <w:link w:val="TextedebullesCar"/>
    <w:uiPriority w:val="99"/>
    <w:semiHidden/>
    <w:unhideWhenUsed/>
    <w:rsid w:val="00A34CE1"/>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CE1"/>
    <w:rPr>
      <w:rFonts w:ascii="Tahoma" w:hAnsi="Tahoma" w:cs="Tahoma"/>
      <w:sz w:val="16"/>
      <w:szCs w:val="16"/>
    </w:rPr>
  </w:style>
  <w:style w:type="character" w:styleId="Lienhypertexte">
    <w:name w:val="Hyperlink"/>
    <w:basedOn w:val="Policepardfaut"/>
    <w:uiPriority w:val="99"/>
    <w:unhideWhenUsed/>
    <w:rsid w:val="00E6074B"/>
    <w:rPr>
      <w:color w:val="0000FF" w:themeColor="hyperlink"/>
      <w:u w:val="single"/>
    </w:rPr>
  </w:style>
  <w:style w:type="character" w:styleId="Mentionnonrsolue">
    <w:name w:val="Unresolved Mention"/>
    <w:basedOn w:val="Policepardfaut"/>
    <w:uiPriority w:val="99"/>
    <w:semiHidden/>
    <w:unhideWhenUsed/>
    <w:rsid w:val="00E6074B"/>
    <w:rPr>
      <w:color w:val="605E5C"/>
      <w:shd w:val="clear" w:color="auto" w:fill="E1DFDD"/>
    </w:rPr>
  </w:style>
  <w:style w:type="paragraph" w:customStyle="1" w:styleId="CellCenter">
    <w:name w:val="CellCenter"/>
    <w:basedOn w:val="Normal"/>
    <w:uiPriority w:val="13"/>
    <w:rsid w:val="00E324C6"/>
    <w:pPr>
      <w:keepNext/>
      <w:keepLines/>
      <w:widowControl w:val="0"/>
      <w:tabs>
        <w:tab w:val="left" w:pos="240"/>
      </w:tabs>
      <w:autoSpaceDE w:val="0"/>
      <w:autoSpaceDN w:val="0"/>
      <w:adjustRightInd w:val="0"/>
      <w:spacing w:before="0"/>
      <w:jc w:val="center"/>
    </w:pPr>
    <w:rPr>
      <w:rFonts w:ascii="Trebuchet MS" w:eastAsiaTheme="minorEastAsia" w:hAnsi="Trebuchet MS" w:cs="Arial"/>
      <w:color w:val="000000"/>
      <w:sz w:val="16"/>
      <w:szCs w:val="16"/>
      <w:lang w:val="nl-BE" w:eastAsia="nl-NL"/>
    </w:rPr>
  </w:style>
  <w:style w:type="paragraph" w:customStyle="1" w:styleId="CellHeading">
    <w:name w:val="CellHeading"/>
    <w:uiPriority w:val="15"/>
    <w:rsid w:val="00E324C6"/>
    <w:pPr>
      <w:keepNext/>
      <w:keepLines/>
      <w:jc w:val="center"/>
    </w:pPr>
    <w:rPr>
      <w:rFonts w:ascii="Trebuchet MS" w:hAnsi="Trebuchet MS"/>
      <w:sz w:val="16"/>
      <w:szCs w:val="16"/>
      <w:lang w:val="nl-BE" w:eastAsia="nl-NL"/>
    </w:rPr>
  </w:style>
  <w:style w:type="character" w:customStyle="1" w:styleId="CellLeftChar">
    <w:name w:val="CellLeft Char"/>
    <w:basedOn w:val="Policepardfaut"/>
    <w:link w:val="CellLeft"/>
    <w:locked/>
    <w:rsid w:val="00E324C6"/>
    <w:rPr>
      <w:rFonts w:ascii="Trebuchet MS" w:hAnsi="Trebuchet MS"/>
      <w:sz w:val="16"/>
      <w:szCs w:val="16"/>
      <w:lang w:eastAsia="nl-NL"/>
    </w:rPr>
  </w:style>
  <w:style w:type="paragraph" w:customStyle="1" w:styleId="CellLeft">
    <w:name w:val="CellLeft"/>
    <w:basedOn w:val="Normal"/>
    <w:link w:val="CellLeftChar"/>
    <w:rsid w:val="00E324C6"/>
    <w:pPr>
      <w:keepNext/>
      <w:keepLines/>
      <w:widowControl w:val="0"/>
      <w:spacing w:before="0"/>
      <w:jc w:val="left"/>
    </w:pPr>
    <w:rPr>
      <w:rFonts w:ascii="Trebuchet MS" w:hAnsi="Trebuchet MS"/>
      <w:sz w:val="16"/>
      <w:szCs w:val="16"/>
      <w:lang w:eastAsia="nl-NL"/>
    </w:rPr>
  </w:style>
  <w:style w:type="character" w:customStyle="1" w:styleId="par0Char">
    <w:name w:val="par_0 Char"/>
    <w:basedOn w:val="Policepardfaut"/>
    <w:link w:val="par0"/>
    <w:locked/>
    <w:rsid w:val="00E324C6"/>
    <w:rPr>
      <w:rFonts w:ascii="Palatino Linotype" w:eastAsiaTheme="minorEastAsia" w:hAnsi="Palatino Linotype"/>
      <w:lang w:eastAsia="nl-NL"/>
    </w:rPr>
  </w:style>
  <w:style w:type="paragraph" w:customStyle="1" w:styleId="par0">
    <w:name w:val="par_0"/>
    <w:link w:val="par0Char"/>
    <w:qFormat/>
    <w:rsid w:val="00E324C6"/>
    <w:pPr>
      <w:autoSpaceDE w:val="0"/>
      <w:autoSpaceDN w:val="0"/>
      <w:adjustRightInd w:val="0"/>
      <w:spacing w:before="240" w:after="200" w:line="320" w:lineRule="atLeast"/>
      <w:jc w:val="both"/>
    </w:pPr>
    <w:rPr>
      <w:rFonts w:ascii="Palatino Linotype" w:eastAsiaTheme="minorEastAsia" w:hAnsi="Palatino Linotype"/>
      <w:lang w:eastAsia="nl-NL"/>
    </w:rPr>
  </w:style>
  <w:style w:type="paragraph" w:customStyle="1" w:styleId="TableFootnote">
    <w:name w:val="TableFootnote"/>
    <w:next w:val="par0"/>
    <w:uiPriority w:val="30"/>
    <w:rsid w:val="00E324C6"/>
    <w:pPr>
      <w:keepLines/>
      <w:tabs>
        <w:tab w:val="left" w:pos="680"/>
      </w:tabs>
      <w:autoSpaceDE w:val="0"/>
      <w:autoSpaceDN w:val="0"/>
      <w:adjustRightInd w:val="0"/>
      <w:spacing w:before="40" w:line="160" w:lineRule="atLeast"/>
      <w:ind w:left="680" w:hanging="680"/>
      <w:jc w:val="both"/>
    </w:pPr>
    <w:rPr>
      <w:rFonts w:ascii="Trebuchet MS" w:hAnsi="Trebuchet MS" w:cs="Arial"/>
      <w:color w:val="000000"/>
      <w:sz w:val="14"/>
      <w:szCs w:val="16"/>
      <w:lang w:val="nl-BE" w:eastAsia="nl-NL"/>
    </w:rPr>
  </w:style>
  <w:style w:type="paragraph" w:customStyle="1" w:styleId="tit0">
    <w:name w:val="tit_0"/>
    <w:next w:val="par0"/>
    <w:uiPriority w:val="1"/>
    <w:rsid w:val="00E324C6"/>
    <w:pPr>
      <w:keepNext/>
      <w:keepLines/>
      <w:numPr>
        <w:numId w:val="4"/>
      </w:numPr>
      <w:suppressAutoHyphens/>
      <w:autoSpaceDE w:val="0"/>
      <w:autoSpaceDN w:val="0"/>
      <w:adjustRightInd w:val="0"/>
      <w:spacing w:before="320" w:line="320" w:lineRule="exact"/>
      <w:ind w:left="567" w:hanging="567"/>
      <w:outlineLvl w:val="0"/>
    </w:pPr>
    <w:rPr>
      <w:rFonts w:ascii="Trebuchet MS" w:hAnsi="Trebuchet MS" w:cs="Arial"/>
      <w:color w:val="414141"/>
      <w:sz w:val="28"/>
      <w:szCs w:val="28"/>
      <w:lang w:val="nl-BE" w:eastAsia="zh-CN"/>
    </w:rPr>
  </w:style>
  <w:style w:type="paragraph" w:customStyle="1" w:styleId="tit1">
    <w:name w:val="tit_1"/>
    <w:next w:val="par0"/>
    <w:uiPriority w:val="2"/>
    <w:rsid w:val="00E324C6"/>
    <w:pPr>
      <w:keepNext/>
      <w:numPr>
        <w:ilvl w:val="1"/>
        <w:numId w:val="4"/>
      </w:numPr>
      <w:spacing w:before="480"/>
      <w:outlineLvl w:val="1"/>
    </w:pPr>
    <w:rPr>
      <w:rFonts w:ascii="Trebuchet MS" w:hAnsi="Trebuchet MS"/>
      <w:b/>
      <w:color w:val="000000" w:themeColor="text1"/>
      <w:sz w:val="24"/>
      <w:lang w:val="nl-BE" w:eastAsia="nl-NL"/>
    </w:rPr>
  </w:style>
  <w:style w:type="paragraph" w:customStyle="1" w:styleId="tit2">
    <w:name w:val="tit_2"/>
    <w:next w:val="par0"/>
    <w:uiPriority w:val="3"/>
    <w:rsid w:val="00E324C6"/>
    <w:pPr>
      <w:keepNext/>
      <w:keepLines/>
      <w:numPr>
        <w:ilvl w:val="2"/>
        <w:numId w:val="4"/>
      </w:numPr>
      <w:suppressAutoHyphens/>
      <w:autoSpaceDE w:val="0"/>
      <w:autoSpaceDN w:val="0"/>
      <w:adjustRightInd w:val="0"/>
      <w:spacing w:before="320" w:line="320" w:lineRule="exact"/>
      <w:outlineLvl w:val="2"/>
    </w:pPr>
    <w:rPr>
      <w:rFonts w:ascii="Trebuchet MS" w:hAnsi="Trebuchet MS" w:cs="Arial"/>
      <w:b/>
      <w:noProof/>
      <w:color w:val="000000" w:themeColor="text1"/>
      <w:sz w:val="22"/>
      <w:szCs w:val="22"/>
      <w:u w:val="single"/>
      <w:lang w:val="nl-BE" w:eastAsia="zh-CN"/>
    </w:rPr>
  </w:style>
  <w:style w:type="paragraph" w:customStyle="1" w:styleId="tit3">
    <w:name w:val="tit_3"/>
    <w:next w:val="par0"/>
    <w:uiPriority w:val="4"/>
    <w:rsid w:val="00E324C6"/>
    <w:pPr>
      <w:keepNext/>
      <w:keepLines/>
      <w:autoSpaceDE w:val="0"/>
      <w:autoSpaceDN w:val="0"/>
      <w:adjustRightInd w:val="0"/>
      <w:spacing w:before="280" w:line="320" w:lineRule="exact"/>
      <w:outlineLvl w:val="3"/>
    </w:pPr>
    <w:rPr>
      <w:rFonts w:ascii="Trebuchet MS" w:hAnsi="Trebuchet MS" w:cs="TrebuchetMS-Bold"/>
      <w:b/>
      <w:color w:val="000000" w:themeColor="text1"/>
      <w:szCs w:val="16"/>
      <w:u w:val="single"/>
      <w:lang w:val="nl-BE" w:eastAsia="zh-CN"/>
    </w:rPr>
  </w:style>
  <w:style w:type="paragraph" w:customStyle="1" w:styleId="TableTitleFR">
    <w:name w:val="TableTitleFR"/>
    <w:next w:val="Normal"/>
    <w:qFormat/>
    <w:rsid w:val="00E324C6"/>
    <w:pPr>
      <w:keepNext/>
      <w:keepLines/>
      <w:spacing w:before="360"/>
      <w:ind w:left="992" w:hanging="992"/>
    </w:pPr>
    <w:rPr>
      <w:rFonts w:ascii="Trebuchet MS" w:hAnsi="Trebuchet MS" w:cs="Arial"/>
      <w:b/>
      <w:bCs/>
      <w:color w:val="000000"/>
      <w:sz w:val="16"/>
      <w:szCs w:val="16"/>
      <w:lang w:val="fr-FR" w:eastAsia="zh-CN"/>
    </w:rPr>
  </w:style>
  <w:style w:type="table" w:customStyle="1" w:styleId="TableFPB">
    <w:name w:val="TableFPB"/>
    <w:basedOn w:val="TableauNormal"/>
    <w:uiPriority w:val="99"/>
    <w:semiHidden/>
    <w:qFormat/>
    <w:rsid w:val="00E324C6"/>
    <w:rPr>
      <w:rFonts w:ascii="Trebuchet MS" w:hAnsi="Trebuchet MS"/>
      <w:sz w:val="16"/>
      <w:szCs w:val="22"/>
      <w:lang w:val="nl-BE" w:eastAsia="zh-CN"/>
    </w:rPr>
    <w:tblPr>
      <w:tblStyleRowBandSize w:val="1"/>
      <w:tblInd w:w="0" w:type="nil"/>
      <w:tblBorders>
        <w:top w:val="single" w:sz="12" w:space="0" w:color="1F497D" w:themeColor="text2"/>
        <w:bottom w:val="single" w:sz="12" w:space="0" w:color="1F497D" w:themeColor="text2"/>
      </w:tblBorders>
    </w:tblPr>
    <w:tcPr>
      <w:vAlign w:val="center"/>
    </w:tcPr>
    <w:tblStylePr w:type="firstRow">
      <w:pPr>
        <w:wordWrap/>
        <w:spacing w:beforeLines="0" w:before="100" w:beforeAutospacing="1" w:afterLines="0" w:after="100" w:afterAutospacing="1" w:line="200" w:lineRule="atLeast"/>
        <w:ind w:leftChars="0" w:left="0" w:rightChars="0" w:right="0" w:firstLineChars="0" w:firstLine="0"/>
        <w:jc w:val="center"/>
      </w:pPr>
      <w:tblPr/>
      <w:tcPr>
        <w:tcBorders>
          <w:top w:val="single" w:sz="12" w:space="0" w:color="1F497D" w:themeColor="text2"/>
          <w:left w:val="nil"/>
          <w:bottom w:val="single" w:sz="12" w:space="0" w:color="1F497D" w:themeColor="text2"/>
          <w:right w:val="nil"/>
          <w:insideH w:val="nil"/>
          <w:insideV w:val="nil"/>
          <w:tl2br w:val="nil"/>
          <w:tr2bl w:val="nil"/>
        </w:tcBorders>
      </w:tcPr>
    </w:tblStylePr>
    <w:tblStylePr w:type="lastRow">
      <w:pPr>
        <w:wordWrap/>
        <w:spacing w:beforeLines="0" w:before="100" w:beforeAutospacing="1" w:afterLines="0" w:after="100" w:afterAutospacing="1" w:line="240" w:lineRule="atLeast"/>
        <w:ind w:leftChars="0" w:left="0" w:rightChars="0" w:right="0" w:firstLineChars="0" w:firstLine="0"/>
        <w:jc w:val="left"/>
        <w:outlineLvl w:val="9"/>
      </w:pPr>
      <w:tblPr/>
      <w:tcPr>
        <w:tcBorders>
          <w:top w:val="nil"/>
          <w:left w:val="nil"/>
          <w:bottom w:val="single" w:sz="12" w:space="0" w:color="1F497D" w:themeColor="text2"/>
          <w:right w:val="nil"/>
          <w:insideH w:val="nil"/>
          <w:insideV w:val="nil"/>
          <w:tl2br w:val="nil"/>
          <w:tr2bl w:val="nil"/>
        </w:tcBorders>
      </w:tcPr>
    </w:tblStylePr>
  </w:style>
  <w:style w:type="paragraph" w:customStyle="1" w:styleId="CellLeftbullet">
    <w:name w:val="CellLeft_bullet"/>
    <w:basedOn w:val="CellLeft"/>
    <w:rsid w:val="00E324C6"/>
    <w:pPr>
      <w:numPr>
        <w:numId w:val="6"/>
      </w:numPr>
      <w:ind w:left="411"/>
    </w:pPr>
  </w:style>
  <w:style w:type="paragraph" w:styleId="Paragraphedeliste">
    <w:name w:val="List Paragraph"/>
    <w:basedOn w:val="Normal"/>
    <w:uiPriority w:val="34"/>
    <w:qFormat/>
    <w:rsid w:val="000C5124"/>
    <w:pPr>
      <w:ind w:left="720"/>
      <w:contextualSpacing/>
    </w:pPr>
  </w:style>
  <w:style w:type="paragraph" w:styleId="Notedebasdepage">
    <w:name w:val="footnote text"/>
    <w:basedOn w:val="Normal"/>
    <w:link w:val="NotedebasdepageCar"/>
    <w:uiPriority w:val="99"/>
    <w:semiHidden/>
    <w:unhideWhenUsed/>
    <w:rsid w:val="0017552D"/>
    <w:pPr>
      <w:spacing w:before="0"/>
    </w:pPr>
  </w:style>
  <w:style w:type="character" w:customStyle="1" w:styleId="NotedebasdepageCar">
    <w:name w:val="Note de bas de page Car"/>
    <w:basedOn w:val="Policepardfaut"/>
    <w:link w:val="Notedebasdepage"/>
    <w:uiPriority w:val="99"/>
    <w:semiHidden/>
    <w:rsid w:val="0017552D"/>
    <w:rPr>
      <w:rFonts w:ascii="Arial" w:hAnsi="Arial"/>
    </w:rPr>
  </w:style>
  <w:style w:type="character" w:styleId="Appelnotedebasdep">
    <w:name w:val="footnote reference"/>
    <w:basedOn w:val="Policepardfaut"/>
    <w:uiPriority w:val="99"/>
    <w:semiHidden/>
    <w:unhideWhenUsed/>
    <w:rsid w:val="001755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349321">
      <w:bodyDiv w:val="1"/>
      <w:marLeft w:val="0"/>
      <w:marRight w:val="0"/>
      <w:marTop w:val="0"/>
      <w:marBottom w:val="0"/>
      <w:divBdr>
        <w:top w:val="none" w:sz="0" w:space="0" w:color="auto"/>
        <w:left w:val="none" w:sz="0" w:space="0" w:color="auto"/>
        <w:bottom w:val="none" w:sz="0" w:space="0" w:color="auto"/>
        <w:right w:val="none" w:sz="0" w:space="0" w:color="auto"/>
      </w:divBdr>
    </w:div>
    <w:div w:id="10156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cad=rja&amp;uact=8&amp;ved=2ahUKEwip5MSh49vxAhW6_rsIHa2VB1kQFjAAegQIBhAD&amp;url=https%3A%2F%2Feur-lex.europa.eu%2Flegal-content%2FFR%2FALL%2F%3Furi%3DCELEX%3A52021XC0218(01)&amp;usg=AOvVaw3jo7Slen_iRdGg0s0lmaUU" TargetMode="External"/><Relationship Id="rId1" Type="http://schemas.openxmlformats.org/officeDocument/2006/relationships/hyperlink" Target="https://www.google.com/url?sa=t&amp;rct=j&amp;q=&amp;esrc=s&amp;source=web&amp;cd=&amp;cad=rja&amp;uact=8&amp;ved=2ahUKEwi-n9_w4tvxAhXO_rsIHQvCAWcQFjAAegQIBBAD&amp;url=https%3A%2F%2Feur-lex.europa.eu%2Flegal-content%2FFR%2FTXT%2FPDF%2F%3Furi%3DCELEX%3A32020R0852%26from%3DF&amp;usg=AOvVaw1q8ikL9vgN5a8yvRv6DAE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5775\Desktop\NOTE%20INTERNE_VIERG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FB056-3CB4-46E5-B898-BC1CA540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 INTERNE_VIERGE.dotx</Template>
  <TotalTime>16</TotalTime>
  <Pages>2</Pages>
  <Words>486</Words>
  <Characters>2676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Nom du Département</vt:lpstr>
    </vt:vector>
  </TitlesOfParts>
  <Company>M.E.T.</Company>
  <LinksUpToDate>false</LinksUpToDate>
  <CharactersWithSpaces>3156</CharactersWithSpaces>
  <SharedDoc>false</SharedDoc>
  <HLinks>
    <vt:vector size="18" baseType="variant">
      <vt:variant>
        <vt:i4>5701751</vt:i4>
      </vt:variant>
      <vt:variant>
        <vt:i4>1479</vt:i4>
      </vt:variant>
      <vt:variant>
        <vt:i4>1026</vt:i4>
      </vt:variant>
      <vt:variant>
        <vt:i4>1</vt:i4>
      </vt:variant>
      <vt:variant>
        <vt:lpwstr>SPW_vsWORD2</vt:lpwstr>
      </vt:variant>
      <vt:variant>
        <vt:lpwstr/>
      </vt:variant>
      <vt:variant>
        <vt:i4>6684767</vt:i4>
      </vt:variant>
      <vt:variant>
        <vt:i4>1590</vt:i4>
      </vt:variant>
      <vt:variant>
        <vt:i4>1025</vt:i4>
      </vt:variant>
      <vt:variant>
        <vt:i4>1</vt:i4>
      </vt:variant>
      <vt:variant>
        <vt:lpwstr>DGO6_WORD2</vt:lpwstr>
      </vt:variant>
      <vt:variant>
        <vt:lpwstr/>
      </vt:variant>
      <vt:variant>
        <vt:i4>5701751</vt:i4>
      </vt:variant>
      <vt:variant>
        <vt:i4>1836</vt:i4>
      </vt:variant>
      <vt:variant>
        <vt:i4>1027</vt:i4>
      </vt:variant>
      <vt:variant>
        <vt:i4>1</vt:i4>
      </vt:variant>
      <vt:variant>
        <vt:lpwstr>SPW_vsWORD2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du Département</dc:title>
  <dc:creator>HAUBERT Isabelle</dc:creator>
  <cp:lastModifiedBy>HAUBERT Isabelle</cp:lastModifiedBy>
  <cp:revision>3</cp:revision>
  <dcterms:created xsi:type="dcterms:W3CDTF">2021-07-11T19:32:00Z</dcterms:created>
  <dcterms:modified xsi:type="dcterms:W3CDTF">2021-07-11T19:47:00Z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796950-567b-48bc-8873-999e13509e95_Enabled">
    <vt:lpwstr>true</vt:lpwstr>
  </property>
  <property fmtid="{D5CDD505-2E9C-101B-9397-08002B2CF9AE}" pid="3" name="MSIP_Label_7f796950-567b-48bc-8873-999e13509e95_SetDate">
    <vt:lpwstr>2021-06-28T12:15:41Z</vt:lpwstr>
  </property>
  <property fmtid="{D5CDD505-2E9C-101B-9397-08002B2CF9AE}" pid="4" name="MSIP_Label_7f796950-567b-48bc-8873-999e13509e95_Method">
    <vt:lpwstr>Standard</vt:lpwstr>
  </property>
  <property fmtid="{D5CDD505-2E9C-101B-9397-08002B2CF9AE}" pid="5" name="MSIP_Label_7f796950-567b-48bc-8873-999e13509e95_Name">
    <vt:lpwstr>7f796950-567b-48bc-8873-999e13509e95</vt:lpwstr>
  </property>
  <property fmtid="{D5CDD505-2E9C-101B-9397-08002B2CF9AE}" pid="6" name="MSIP_Label_7f796950-567b-48bc-8873-999e13509e95_SiteId">
    <vt:lpwstr>1f816a84-7aa6-4a56-b22a-7b3452fa8681</vt:lpwstr>
  </property>
  <property fmtid="{D5CDD505-2E9C-101B-9397-08002B2CF9AE}" pid="7" name="MSIP_Label_7f796950-567b-48bc-8873-999e13509e95_ActionId">
    <vt:lpwstr>19b2db15-21d6-4a57-a180-9d7a8a62e7c5</vt:lpwstr>
  </property>
  <property fmtid="{D5CDD505-2E9C-101B-9397-08002B2CF9AE}" pid="8" name="MSIP_Label_7f796950-567b-48bc-8873-999e13509e95_ContentBits">
    <vt:lpwstr>0</vt:lpwstr>
  </property>
</Properties>
</file>